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X6ade02314a01cac3ff3042ac9a5b01bc22bc882"/>
    <w:p>
      <w:pPr>
        <w:pStyle w:val="Heading1"/>
      </w:pPr>
      <w:r>
        <w:t xml:space="preserve">Gerenciamento do programa de garantia de controles 2024.03 Notas da versão</w:t>
      </w:r>
    </w:p>
    <w:p>
      <w:pPr>
        <w:pStyle w:val="FirstParagraph"/>
      </w:pPr>
      <w:r>
        <w:t xml:space="preserve">Atualizações de procedimentos de controle:</w:t>
      </w:r>
    </w:p>
    <w:p>
      <w:pPr>
        <w:numPr>
          <w:ilvl w:val="0"/>
          <w:numId w:val="1001"/>
        </w:numPr>
      </w:pPr>
      <w:r>
        <w:t xml:space="preserve">Capacidade de capturar vários custos anuais em um único procedimento de controle.</w:t>
      </w:r>
    </w:p>
    <w:p>
      <w:pPr>
        <w:numPr>
          <w:ilvl w:val="0"/>
          <w:numId w:val="1001"/>
        </w:numPr>
      </w:pPr>
      <w:r>
        <w:t xml:space="preserve">Introdução de um status de ciclo de vida.</w:t>
      </w:r>
    </w:p>
    <w:p>
      <w:pPr>
        <w:numPr>
          <w:ilvl w:val="1"/>
          <w:numId w:val="1002"/>
        </w:numPr>
      </w:pPr>
      <w:r>
        <w:t xml:space="preserve">Facilita o conceito de um workflow em torno do ciclo de vida de um controle.</w:t>
      </w:r>
    </w:p>
    <w:p>
      <w:pPr>
        <w:numPr>
          <w:ilvl w:val="1"/>
          <w:numId w:val="1002"/>
        </w:numPr>
      </w:pPr>
      <w:r>
        <w:t xml:space="preserve">Acomoda a capacidade de determinar melhor o valor real do controle usando a combinação do Status do Ciclo de Vida e do status de Conformidade.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2025-03-06T14:51:12Z</dcterms:created>
  <dcterms:modified xsi:type="dcterms:W3CDTF">2025-03-06T14:51:12Z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