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1419b3f18bbaecda6619c7d5aa2fb7820b72084"/>
    <w:p>
      <w:pPr>
        <w:pStyle w:val="Heading1"/>
      </w:pPr>
      <w:bookmarkStart w:id="20" w:name="aanchor1"/>
      <w:bookmarkEnd w:id="20"/>
      <w:r>
        <w:t xml:space="preserve"> </w:t>
      </w:r>
      <w:r>
        <w:t xml:space="preserve">Instalando o Gerenciamento do programa de garantia de controles</w:t>
      </w:r>
    </w:p>
    <w:p>
      <w:pPr>
        <w:pStyle w:val="FirstParagraph"/>
      </w:pPr>
      <w:r>
        <w:t xml:space="preserve">O pacote de casos de uso do Gerenciamento do programa de garantia de controles inclui aplicativos e questionários específicos para o caso de uso. Para instalá-lo completamente, você deve instalar o pacote de casos de uso Gerenciamento do programa de garantia de controles e o pacote do Catálogo corporativo.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Instala%C3%A7%C3%A3o">
        <w:r>
          <w:rPr>
            <w:rStyle w:val="Hyperlink"/>
          </w:rPr>
          <w:t xml:space="preserve">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O pacote do Catálogo corporativo contém os aplicativos relacionados à sua infraestrutura de negócios e ativos organizacionais.</w:t>
      </w:r>
    </w:p>
    <w:p>
      <w:pPr>
        <w:pStyle w:val="BodyText"/>
      </w:pPr>
      <w:r>
        <w:t xml:space="preserve"> Para o caso de uso do Gerenciamento do programa de garantia de controles, você deve instalar os seguintes aplicativos do pacote Catálogo corporativo:</w:t>
      </w:r>
    </w:p>
    <w:p>
      <w:pPr>
        <w:numPr>
          <w:ilvl w:val="0"/>
          <w:numId w:val="1003"/>
        </w:numPr>
      </w:pPr>
      <w:r>
        <w:t xml:space="preserve">Processos de negócios</w:t>
      </w:r>
    </w:p>
    <w:p>
      <w:pPr>
        <w:numPr>
          <w:ilvl w:val="0"/>
          <w:numId w:val="1003"/>
        </w:numPr>
      </w:pPr>
      <w:r>
        <w:t xml:space="preserve">Contatos</w:t>
      </w:r>
    </w:p>
    <w:p>
      <w:pPr>
        <w:numPr>
          <w:ilvl w:val="0"/>
          <w:numId w:val="1003"/>
        </w:numPr>
      </w:pPr>
      <w:r>
        <w:t xml:space="preserve">Procedimentos de controle</w:t>
      </w:r>
    </w:p>
    <w:p>
      <w:pPr>
        <w:numPr>
          <w:ilvl w:val="0"/>
          <w:numId w:val="1003"/>
        </w:numPr>
      </w:pPr>
      <w:r>
        <w:t xml:space="preserve">Instalações</w:t>
      </w:r>
    </w:p>
    <w:p>
      <w:pPr>
        <w:numPr>
          <w:ilvl w:val="0"/>
          <w:numId w:val="1003"/>
        </w:numPr>
      </w:pPr>
      <w:r>
        <w:t xml:space="preserve">Ativos de informações</w:t>
      </w:r>
    </w:p>
    <w:p>
      <w:pPr>
        <w:numPr>
          <w:ilvl w:val="0"/>
          <w:numId w:val="1003"/>
        </w:numPr>
      </w:pPr>
      <w:r>
        <w:t xml:space="preserve">Controles primários</w:t>
      </w:r>
    </w:p>
    <w:p>
      <w:pPr>
        <w:numPr>
          <w:ilvl w:val="0"/>
          <w:numId w:val="1003"/>
        </w:numPr>
      </w:pPr>
      <w:r>
        <w:t xml:space="preserve">Produtos e serviços</w:t>
      </w:r>
    </w:p>
    <w:p>
      <w:pPr>
        <w:pStyle w:val="FirstParagraph"/>
      </w:pPr>
      <w:r>
        <w:rPr>
          <w:b/>
          <w:bCs/>
        </w:rPr>
        <w:t xml:space="preserve">Observação:</w:t>
      </w:r>
      <w:r>
        <w:t xml:space="preserve"> </w:t>
      </w:r>
      <w:r>
        <w:t xml:space="preserve">o pacote do Catálogo corporativo contém aplicativos adicionais que não são licenciados com o caso de uso do Gerenciamento do programa de garantia de controles. Só é necessário instalar os aplicativos listados.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3" w:name="Instalação"/>
    <w:p>
      <w:pPr>
        <w:pStyle w:val="Heading2"/>
      </w:pPr>
      <w:r>
        <w:t xml:space="preserve">Instalação</w:t>
      </w:r>
    </w:p>
    <w:p>
      <w:pPr>
        <w:pStyle w:val="FirstParagraph"/>
      </w:pPr>
      <w:r>
        <w:rPr>
          <w:b/>
          <w:bCs/>
        </w:rPr>
        <w:t xml:space="preserve">Importante:</w:t>
      </w:r>
      <w:r>
        <w:t xml:space="preserve"> </w:t>
      </w:r>
      <w:r>
        <w:t xml:space="preserve">Se você estiver fazendo upgrade de uma versão anterior deste caso de uso, revise a seção de upgrade antes de concluir as tarefas de instalação nesta seção. Para obter mais informações, consulte Upgrade do Gerenciamento do programa de garantia de controles.</w:t>
      </w:r>
    </w:p>
    <w:p>
      <w:pPr>
        <w:pStyle w:val="BodyText"/>
      </w:pPr>
      <w:r>
        <w:t xml:space="preserve">Conclua as tarefas a seguir para instalar o caso de uso Gerenciamento do programa de garantia de controles e o pacote Catálogo corporativo.</w:t>
      </w:r>
    </w:p>
    <w:bookmarkStart w:id="24"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w:t>
      </w:r>
      <w:r>
        <w:t xml:space="preserve"> </w:t>
      </w:r>
      <w:r>
        <w:t xml:space="preserve">Platform versão 2024.03 ou posterior.</w:t>
      </w:r>
    </w:p>
    <w:p>
      <w:pPr>
        <w:pStyle w:val="Compact"/>
        <w:numPr>
          <w:ilvl w:val="1"/>
          <w:numId w:val="1005"/>
        </w:numPr>
      </w:pPr>
      <w:r>
        <w:t xml:space="preserve">Licença válida para o Gerenciamento do programa de garantia de controles 2024.03.</w:t>
      </w:r>
    </w:p>
    <w:p>
      <w:pPr>
        <w:pStyle w:val="Compact"/>
        <w:numPr>
          <w:ilvl w:val="1"/>
          <w:numId w:val="1005"/>
        </w:numPr>
      </w:pPr>
      <w:r>
        <w:t xml:space="preserve">Você já instalou o seguinte caso de uso: Gerenciamento de problemas.</w:t>
      </w:r>
    </w:p>
    <w:p>
      <w:pPr>
        <w:pStyle w:val="Compact"/>
        <w:numPr>
          <w:ilvl w:val="1"/>
          <w:numId w:val="1005"/>
        </w:numPr>
      </w:pPr>
      <w:r>
        <w:t xml:space="preserve">Uma conta de usuário na plataforma com privilégios de acesso ao Gerenciador do feed de dados.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de casos de uso.</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 Archer.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 de Gerenciamento do programa de garantia de controles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1" w:name="Tarefa5Configurarfeedsdedados"/>
    <w:p>
      <w:pPr>
        <w:pStyle w:val="Heading3"/>
      </w:pPr>
      <w:r>
        <w:t xml:space="preserve">Tarefa 5: Configurar feeds de dados</w:t>
      </w:r>
      <w:r>
        <w:br/>
      </w:r>
    </w:p>
    <w:p>
      <w:pPr>
        <w:pStyle w:val="FirstParagraph"/>
      </w:pPr>
      <w:r>
        <w:t xml:space="preserve">Você precisa configurar cada feed de dados de caso de uso que deseja usar. Consulte</w:t>
      </w:r>
      <w:r>
        <w:t xml:space="preserve"> </w:t>
      </w:r>
      <w:hyperlink r:id="rId30">
        <w:r>
          <w:rPr>
            <w:rStyle w:val="Hyperlink"/>
          </w:rPr>
          <w:t xml:space="preserve">Configurando feeds de dados do Gerenciamento do programa de garantia de controles</w:t>
        </w:r>
      </w:hyperlink>
      <w:r>
        <w:t xml:space="preserve">.</w:t>
      </w:r>
    </w:p>
    <w:bookmarkEnd w:id="31"/>
    <w:bookmarkStart w:id="32" w:name="Tarefa6Testarainstalação"/>
    <w:p>
      <w:pPr>
        <w:pStyle w:val="Heading3"/>
      </w:pPr>
      <w:r>
        <w:t xml:space="preserve">Tarefa 6: Testar a instalação</w:t>
      </w:r>
      <w:r>
        <w:br/>
      </w:r>
    </w:p>
    <w:p>
      <w:pPr>
        <w:pStyle w:val="FirstParagraph"/>
      </w:pPr>
      <w:r>
        <w:t xml:space="preserve">Teste o caso de uso Gerenciamento do programa de garantia de controles de acordo com os padrões e os procedimentos de sua empresa a fim de garantir que ele funcione com os processos existentes.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rccm_ctrlprg_df_setting_up.htm" TargetMode="External" /><Relationship Type="http://schemas.openxmlformats.org/officeDocument/2006/relationships/hyperlink" Id="rId26" Target="rccm_ctrlprg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rccm_ctrlprg_df_setting_up.htm" TargetMode="External" /><Relationship Type="http://schemas.openxmlformats.org/officeDocument/2006/relationships/hyperlink" Id="rId26" Target="rccm_ctrlprg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2025-03-06T14:51:56Z</dcterms:created>
  <dcterms:modified xsi:type="dcterms:W3CDTF">2025-03-06T14:51:56Z</dcterms:modified>
</cp:coreProperties>
</file>

<file path=docProps/custom.xml><?xml version="1.0" encoding="utf-8"?>
<Properties xmlns="http://schemas.openxmlformats.org/officeDocument/2006/custom-properties" xmlns:vt="http://schemas.openxmlformats.org/officeDocument/2006/docPropsVTypes"/>
</file>