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X11da7c5c2a086f192041f310566c3a83b3c14e4"/>
    <w:p>
      <w:pPr>
        <w:pStyle w:val="Heading1"/>
      </w:pPr>
      <w:bookmarkStart w:id="20" w:name="aanchor1"/>
      <w:bookmarkEnd w:id="20"/>
      <w:r>
        <w:t xml:space="preserve"> </w:t>
      </w:r>
      <w:r>
        <w:t xml:space="preserve">Archer</w:t>
      </w:r>
      <w:r>
        <w:t xml:space="preserve"> </w:t>
      </w:r>
      <w:r>
        <w:t xml:space="preserve">Monitoramento de controles financeiros 2024.03</w:t>
      </w:r>
    </w:p>
    <w:p>
      <w:pPr>
        <w:pStyle w:val="FirstParagraph"/>
      </w:pPr>
      <w:r>
        <w:t xml:space="preserve">O Monitoramento de controles financeiros do</w:t>
      </w:r>
      <w:r>
        <w:t xml:space="preserve"> </w:t>
      </w:r>
      <w:r>
        <w:t xml:space="preserve">Archer</w:t>
      </w:r>
      <w:r>
        <w:t xml:space="preserve"> </w:t>
      </w:r>
      <w:r>
        <w:t xml:space="preserve">permite que as organizações avaliem o desempenho dos controles financeiros em todos os ativos de nível empresarial e gerem os relatórios pertinentes. Construindo sobre a base estabelecida com o</w:t>
      </w:r>
      <w:r>
        <w:t xml:space="preserve"> </w:t>
      </w:r>
      <w:r>
        <w:t xml:space="preserve">Archer</w:t>
      </w:r>
    </w:p>
    <w:p>
      <w:pPr>
        <w:pStyle w:val="BodyText"/>
      </w:pPr>
      <w:r>
        <w:t xml:space="preserve">Nesta página</w:t>
      </w:r>
    </w:p>
    <w:p>
      <w:pPr>
        <w:pStyle w:val="Compact"/>
        <w:numPr>
          <w:ilvl w:val="0"/>
          <w:numId w:val="1001"/>
        </w:numPr>
      </w:pPr>
      <w:hyperlink w:anchor="X904038a2ca24a11bd1cc62a72d5b58c9d354b2c">
        <w:r>
          <w:rPr>
            <w:rStyle w:val="Hyperlink"/>
          </w:rPr>
          <w:t xml:space="preserve">Benefícios do Monitoramento de controles financeiros</w:t>
        </w:r>
      </w:hyperlink>
    </w:p>
    <w:p>
      <w:pPr>
        <w:pStyle w:val="Compact"/>
        <w:numPr>
          <w:ilvl w:val="0"/>
          <w:numId w:val="1001"/>
        </w:numPr>
      </w:pPr>
      <w:hyperlink w:anchor="Xda161ce87227201587b527f1977a7e4d627e789">
        <w:r>
          <w:rPr>
            <w:rStyle w:val="Hyperlink"/>
          </w:rPr>
          <w:t xml:space="preserve">Como o Monitoramento de controles financeiros se enquadra em um programa de risco e conformidade</w:t>
        </w:r>
      </w:hyperlink>
    </w:p>
    <w:p>
      <w:pPr>
        <w:pStyle w:val="Compact"/>
        <w:numPr>
          <w:ilvl w:val="0"/>
          <w:numId w:val="1001"/>
        </w:numPr>
      </w:pPr>
    </w:p>
    <w:p>
      <w:pPr>
        <w:pStyle w:val="Compact"/>
        <w:numPr>
          <w:ilvl w:val="1"/>
          <w:numId w:val="1002"/>
        </w:numPr>
      </w:pPr>
      <w:hyperlink w:anchor="Casosdeusodepr%C3%A9requisitoeseguintes">
        <w:r>
          <w:rPr>
            <w:rStyle w:val="Hyperlink"/>
          </w:rPr>
          <w:t xml:space="preserve">Casos de uso de pré-requisito e seguintes</w:t>
        </w:r>
      </w:hyperlink>
    </w:p>
    <w:p>
      <w:pPr>
        <w:pStyle w:val="Compact"/>
        <w:numPr>
          <w:ilvl w:val="1"/>
          <w:numId w:val="1002"/>
        </w:numPr>
      </w:pPr>
      <w:hyperlink w:anchor="X4c9f0ed4225641c1ff1d4f7f9a8426f7ce40e4b">
        <w:r>
          <w:rPr>
            <w:rStyle w:val="Hyperlink"/>
          </w:rPr>
          <w:t xml:space="preserve">Casos de uso relacionados em outras áreas de solução</w:t>
        </w:r>
      </w:hyperlink>
    </w:p>
    <w:p>
      <w:pPr>
        <w:pStyle w:val="Compact"/>
        <w:numPr>
          <w:ilvl w:val="0"/>
          <w:numId w:val="1001"/>
        </w:numPr>
      </w:pPr>
      <w:hyperlink w:anchor="Introdu%C3%A7%C3%A3o">
        <w:r>
          <w:rPr>
            <w:rStyle w:val="Hyperlink"/>
          </w:rPr>
          <w:t xml:space="preserve">Introdução</w:t>
        </w:r>
      </w:hyperlink>
    </w:p>
    <w:bookmarkStart w:id="22" w:name="X314941b55f830669f29335e7202b0a41396f0c7"/>
    <w:p>
      <w:pPr>
        <w:pStyle w:val="Heading2"/>
      </w:pPr>
      <w:r>
        <w:t xml:space="preserve">Benefícios do Monitoramento de controles financeiros</w:t>
      </w:r>
    </w:p>
    <w:p>
      <w:pPr>
        <w:pStyle w:val="FirstParagraph"/>
      </w:pPr>
      <w:r>
        <w:t xml:space="preserve">Com o caso de uso Gerenciamento do programa de garantia de controles, é possível gerenciar vários projetos de conformidade financeira e rastrear tarefas associadas, como listas PBC (Provided By Client, fornecido pelo client) e testes de projeto e operacionais, conforme exigido pela lei Sarbanes-Oxley (SOX) e outras normas financeiras semelhantes. As narrativas de processo e as etapas detalhadas podem ser documentadas para atribuir propriedade e rastrear alterações para cada parte do processo. Também é fácil definir o escopo e conceder acesso a auditores externos para uma análise independente do programa de conformidade financeira.</w:t>
      </w:r>
    </w:p>
    <w:p>
      <w:pPr>
        <w:pStyle w:val="BodyText"/>
      </w:pPr>
      <w:r>
        <w:t xml:space="preserve">Com o Monitoramento de controles financeiros do</w:t>
      </w:r>
      <w:r>
        <w:t xml:space="preserve"> </w:t>
      </w:r>
      <w:r>
        <w:t xml:space="preserve">Archer</w:t>
      </w:r>
      <w:r>
        <w:t xml:space="preserve">, você pode gerenciar um único universo de controle financeiro consolidando projetos de conformidade financeira em uma única plataforma junto com outros programas de conformidade. Os empresários têm melhor visibilidade sobre dados de conformidade e riscos críticos para tomar decisões de negócios totalmente fundamentadas com base nos riscos, em apoio à conformidade financeira. Isso também aprimora o alinhamento com gestão corporativa ampliada, metas de responsabilidade e outros objetivos estratégicos.</w:t>
      </w:r>
    </w:p>
    <w:p>
      <w:pPr>
        <w:pStyle w:val="BodyText"/>
      </w:pPr>
      <w:r>
        <w:t xml:space="preserve">Para obter os principais recursos e benefícios deste caso de uso, consulte o Data sheet na</w:t>
      </w:r>
      <w:r>
        <w:t xml:space="preserve"> </w:t>
      </w:r>
      <w:r>
        <w:t xml:space="preserve">Archer Community</w:t>
      </w:r>
      <w:r>
        <w:t xml:space="preserve">:</w:t>
      </w:r>
      <w:r>
        <w:t xml:space="preserve"> </w:t>
      </w:r>
      <w:hyperlink r:id="rId21">
        <w:r>
          <w:rPr>
            <w:rStyle w:val="Hyperlink"/>
          </w:rPr>
          <w:t xml:space="preserve">https://www.archerirm.community/t5/solution-use-case-overviews/archer-solutions-amp-use-cases/ba-p/572564</w:t>
        </w:r>
      </w:hyperlink>
    </w:p>
    <w:bookmarkEnd w:id="22"/>
    <w:bookmarkStart w:id="27" w:name="Xda161ce87227201587b527f1977a7e4d627e789"/>
    <w:p>
      <w:pPr>
        <w:pStyle w:val="Heading2"/>
      </w:pPr>
      <w:r>
        <w:t xml:space="preserve">Como o Monitoramento de controles financeiros se enquadra em um programa de risco e conformidade</w:t>
      </w:r>
    </w:p>
    <w:p>
      <w:pPr>
        <w:pStyle w:val="FirstParagraph"/>
      </w:pPr>
      <w:r>
        <w:t xml:space="preserve">O Monitoramento de controles financeiros do</w:t>
      </w:r>
      <w:r>
        <w:t xml:space="preserve"> </w:t>
      </w:r>
      <w:r>
        <w:t xml:space="preserve">Archer</w:t>
      </w:r>
      <w:r>
        <w:t xml:space="preserve"> </w:t>
      </w:r>
      <w:r>
        <w:t xml:space="preserve">é um caso de uso na área de solução Gerenciamento de conformidade regulamentar e corporativa do Archer. As seções a seguir descrevem os casos de uso de pré-requisito, os caminhos de upgrade quando seu programa amadurecer e os casos de uso que podem ser integrados em outras áreas de solução.</w:t>
      </w:r>
    </w:p>
    <w:bookmarkStart w:id="23" w:name="Casosdeusodeprérequisitoeseguintes"/>
    <w:p>
      <w:pPr>
        <w:pStyle w:val="Heading3"/>
      </w:pPr>
      <w:r>
        <w:t xml:space="preserve">Casos de uso de pré-requisito e seguintes</w:t>
      </w:r>
    </w:p>
    <w:p>
      <w:pPr>
        <w:pStyle w:val="TableCaption"/>
      </w:pPr>
      <w:r>
        <w:t xml:space="preserve">O diagrama a seguir mostra como este caso de uso se enquadra na área de solução geral Gerenciamento de conformidade regulamentar e corporativa.</w:t>
      </w:r>
    </w:p>
    <w:tbl>
      <w:tblPr>
        <w:tblStyle w:val="Table"/>
        <w:tblW w:type="pct" w:w="4950"/>
        <w:tblLayout w:type="fixed"/>
        <w:tblLook w:firstRow="1" w:lastRow="0" w:firstColumn="0" w:lastColumn="0" w:noHBand="0" w:noVBand="0" w:val="0020"/>
        <w:tblCaption w:val="O diagrama a seguir mostra como este caso de uso se enquadra na área de solução geral Gerenciamento de conformidade regulamentar e corporativa."/>
      </w:tblPr>
      <w:tblGrid>
        <w:gridCol w:w="2613"/>
        <w:gridCol w:w="2613"/>
        <w:gridCol w:w="2613"/>
      </w:tblGrid>
      <w:tr>
        <w:trPr>
          <w:tblHeader w:val="on"/>
        </w:trPr>
        <w:tc>
          <w:tcPr/>
          <w:p>
            <w:pPr>
              <w:jc w:val="center"/>
            </w:pPr>
            <w:r>
              <w:t xml:space="preserve">Pré-requisito</w:t>
            </w:r>
          </w:p>
        </w:tc>
        <w:tc>
          <w:tcPr/>
          <w:p>
            <w:pPr>
              <w:jc w:val="center"/>
            </w:pPr>
            <w:r>
              <w:t xml:space="preserve">O que você tem</w:t>
            </w:r>
          </w:p>
        </w:tc>
        <w:tc>
          <w:tcPr/>
          <w:p>
            <w:pPr>
              <w:jc w:val="center"/>
            </w:pPr>
            <w:r>
              <w:t xml:space="preserve">O que vem depois</w:t>
            </w:r>
          </w:p>
        </w:tc>
      </w:tr>
      <w:tr>
        <w:tc>
          <w:tcPr/>
          <w:p>
            <w:pPr>
              <w:jc w:val="center"/>
            </w:pPr>
            <w:r>
              <w:t xml:space="preserve">Gerenciamento do programa de garantia de controles</w:t>
            </w:r>
          </w:p>
        </w:tc>
        <w:tc>
          <w:tcPr/>
          <w:p>
            <w:pPr>
              <w:jc w:val="center"/>
            </w:pPr>
            <w:r>
              <w:t xml:space="preserve">Monitoramento de controles financeiros</w:t>
            </w:r>
          </w:p>
        </w:tc>
        <w:tc>
          <w:tcPr/>
          <w:p>
            <w:pPr>
              <w:jc w:val="center"/>
            </w:pPr>
            <w:r>
              <w:t xml:space="preserve">N/D</w:t>
            </w:r>
          </w:p>
        </w:tc>
      </w:tr>
      <w:tr>
        <w:tc>
          <w:tcPr/>
          <w:p>
            <w:pPr>
              <w:pStyle w:val="Compact"/>
              <w:numPr>
                <w:ilvl w:val="0"/>
                <w:numId w:val="1003"/>
              </w:numPr>
              <w:jc w:val="center"/>
            </w:pPr>
            <w:r>
              <w:t xml:space="preserve">Testes automatizados para controles técnicos e processo</w:t>
            </w:r>
          </w:p>
          <w:p>
            <w:pPr>
              <w:pStyle w:val="Compact"/>
              <w:numPr>
                <w:ilvl w:val="0"/>
                <w:numId w:val="1003"/>
              </w:numPr>
              <w:jc w:val="center"/>
            </w:pPr>
            <w:r>
              <w:t xml:space="preserve">Repositório e taxonomia de controles estruturados</w:t>
            </w:r>
          </w:p>
          <w:p>
            <w:pPr>
              <w:pStyle w:val="Compact"/>
              <w:numPr>
                <w:ilvl w:val="0"/>
                <w:numId w:val="1003"/>
              </w:numPr>
              <w:jc w:val="center"/>
            </w:pPr>
            <w:r>
              <w:t xml:space="preserve">Gerenciar problemas referentes a obrigações regulamentares e corporativas relacionadas a mudanças</w:t>
            </w:r>
          </w:p>
          <w:p>
            <w:pPr>
              <w:pStyle w:val="Compact"/>
              <w:numPr>
                <w:ilvl w:val="0"/>
                <w:numId w:val="1003"/>
              </w:numPr>
              <w:jc w:val="center"/>
            </w:pPr>
            <w:r>
              <w:t xml:space="preserve">Integrar a tecnologias de integração e testes</w:t>
            </w:r>
          </w:p>
        </w:tc>
        <w:tc>
          <w:tcPr/>
          <w:p>
            <w:pPr>
              <w:pStyle w:val="Compact"/>
              <w:numPr>
                <w:ilvl w:val="0"/>
                <w:numId w:val="1004"/>
              </w:numPr>
              <w:jc w:val="center"/>
            </w:pPr>
            <w:r>
              <w:t xml:space="preserve">Testar e manter controles financeiros para obrigações regulamentares como SOX</w:t>
            </w:r>
          </w:p>
          <w:p>
            <w:pPr>
              <w:pStyle w:val="Compact"/>
              <w:numPr>
                <w:ilvl w:val="0"/>
                <w:numId w:val="1004"/>
              </w:numPr>
              <w:jc w:val="center"/>
            </w:pPr>
            <w:r>
              <w:t xml:space="preserve">Gerenciar problemas detectados como parte do programa de controles financeiros</w:t>
            </w:r>
          </w:p>
          <w:p>
            <w:pPr>
              <w:pStyle w:val="Compact"/>
              <w:numPr>
                <w:ilvl w:val="0"/>
                <w:numId w:val="1004"/>
              </w:numPr>
              <w:jc w:val="center"/>
            </w:pPr>
            <w:r>
              <w:t xml:space="preserve">Fazer a auditoria e a manutenção de listas PBC (Provided By Client, fornecido pelo client)</w:t>
            </w:r>
          </w:p>
          <w:p>
            <w:pPr>
              <w:pStyle w:val="Compact"/>
              <w:numPr>
                <w:ilvl w:val="0"/>
                <w:numId w:val="1004"/>
              </w:numPr>
              <w:jc w:val="center"/>
            </w:pPr>
            <w:r>
              <w:t xml:space="preserve">Documentar e manter narrativas de processo</w:t>
            </w:r>
          </w:p>
          <w:p>
            <w:pPr>
              <w:pStyle w:val="Compact"/>
              <w:numPr>
                <w:ilvl w:val="0"/>
                <w:numId w:val="1004"/>
              </w:numPr>
              <w:jc w:val="center"/>
            </w:pPr>
            <w:r>
              <w:t xml:space="preserve">Documentar e analisar alterações em controles e processos</w:t>
            </w:r>
          </w:p>
        </w:tc>
        <w:tc>
          <w:tcPr/>
          <w:p>
            <w:pPr>
              <w:pStyle w:val="Compact"/>
              <w:jc w:val="center"/>
            </w:pPr>
            <w:r>
              <w:t xml:space="preserve"> </w:t>
            </w:r>
          </w:p>
        </w:tc>
      </w:tr>
    </w:tbl>
    <w:bookmarkEnd w:id="23"/>
    <w:bookmarkStart w:id="26" w:name="X95bed792086d043729f2014098ef2ba58526a7a"/>
    <w:p>
      <w:pPr>
        <w:pStyle w:val="Heading3"/>
      </w:pPr>
      <w:bookmarkStart w:id="24" w:name="Related"/>
      <w:bookmarkEnd w:id="24"/>
      <w:r>
        <w:t xml:space="preserve">Casos de uso relacionados em outras áreas de solução</w:t>
      </w:r>
    </w:p>
    <w:p>
      <w:pPr>
        <w:pStyle w:val="TableCaption"/>
      </w:pPr>
      <w:r>
        <w:t xml:space="preserve">[legenda] Para obter informações sobre estes casos de uso do</w:t>
      </w:r>
      <w:r>
        <w:t xml:space="preserve"> </w:t>
      </w:r>
      <w:r>
        <w:t xml:space="preserve">Archer</w:t>
      </w:r>
      <w:r>
        <w:t xml:space="preserve">, consulte a</w:t>
      </w:r>
      <w:r>
        <w:t xml:space="preserve"> </w:t>
      </w:r>
      <w:hyperlink r:id="rId25">
        <w:r>
          <w:rPr>
            <w:rStyle w:val="Hyperlink"/>
          </w:rPr>
          <w:t xml:space="preserve">Ajuda das soluções Archer.</w:t>
        </w:r>
      </w:hyperlink>
    </w:p>
    <w:tbl>
      <w:tblPr>
        <w:tblStyle w:val="Table"/>
        <w:tblW w:type="auto" w:w="0"/>
        <w:tblLook w:firstRow="1" w:lastRow="0" w:firstColumn="0" w:lastColumn="0" w:noHBand="0" w:noVBand="0" w:val="0020"/>
        <w:tblCaption w:val="[legenda] Para obter informações sobre estes casos de uso do Archer, consulte a Ajuda das soluções Archer."/>
      </w:tblPr>
      <w:tblGrid>
        <w:gridCol w:w="2640"/>
        <w:gridCol w:w="2640"/>
        <w:gridCol w:w="2640"/>
      </w:tblGrid>
      <w:tr>
        <w:trPr>
          <w:tblHeader w:val="on"/>
        </w:trPr>
        <w:tc>
          <w:tcPr/>
          <w:p>
            <w:pPr>
              <w:pStyle w:val="BodyText"/>
            </w:pPr>
            <w:r>
              <w:t xml:space="preserve">Aplicativo</w:t>
            </w:r>
          </w:p>
        </w:tc>
        <w:tc>
          <w:tcPr/>
          <w:p>
            <w:pPr>
              <w:pStyle w:val="BodyText"/>
            </w:pPr>
            <w:r>
              <w:t xml:space="preserve">Casos de uso</w:t>
            </w:r>
          </w:p>
        </w:tc>
        <w:tc>
          <w:tcPr/>
          <w:p>
            <w:pPr>
              <w:pStyle w:val="BodyText"/>
            </w:pPr>
            <w:r>
              <w:t xml:space="preserve">Principal finalidade da relação</w:t>
            </w:r>
          </w:p>
        </w:tc>
      </w:tr>
      <w:tr>
        <w:tc>
          <w:tcPr/>
          <w:p>
            <w:pPr>
              <w:pStyle w:val="BodyText"/>
            </w:pPr>
            <w:r>
              <w:t xml:space="preserve">Riscos</w:t>
            </w:r>
          </w:p>
        </w:tc>
        <w:tc>
          <w:tcPr/>
          <w:p>
            <w:pPr>
              <w:pStyle w:val="BodyText"/>
            </w:pPr>
            <w:r>
              <w:t xml:space="preserve">Risk Catalog, Top-Down Risk Assessment, Gerenciamento de riscos de TI, Sistema de gerenciamento da segurança das informações</w:t>
            </w:r>
          </w:p>
        </w:tc>
        <w:tc>
          <w:tcPr/>
          <w:p>
            <w:pPr>
              <w:pStyle w:val="BodyText"/>
            </w:pPr>
            <w:r>
              <w:t xml:space="preserve">É possível vincular registros de Contas do Razão ou Procedimentos de controle aos riscos relacionados no aplicativo Riscos.</w:t>
            </w:r>
          </w:p>
        </w:tc>
      </w:tr>
      <w:tr>
        <w:tc>
          <w:tcPr/>
          <w:p>
            <w:pPr>
              <w:pStyle w:val="BodyText"/>
            </w:pPr>
            <w:r>
              <w:t xml:space="preserve">Políticas, Padrões de controle, Fontes de autoria, Objetivos corporativos</w:t>
            </w:r>
          </w:p>
        </w:tc>
        <w:tc>
          <w:tcPr/>
          <w:p>
            <w:pPr>
              <w:pStyle w:val="BodyText"/>
            </w:pPr>
            <w:r>
              <w:t xml:space="preserve">Gerenciamento do programa de políticas</w:t>
            </w:r>
          </w:p>
        </w:tc>
        <w:tc>
          <w:tcPr/>
          <w:p>
            <w:pPr>
              <w:pStyle w:val="BodyText"/>
            </w:pPr>
            <w:r>
              <w:t xml:space="preserve">Você pode vincular seus controles aos aplicativos relacionados no caso de uso Gerenciamento do programa de políticas para ter uma visão holística sobre o desempenho dos controles em relação às políticas e aos padrões relacionados.</w:t>
            </w:r>
          </w:p>
        </w:tc>
      </w:tr>
    </w:tbl>
    <w:bookmarkEnd w:id="26"/>
    <w:bookmarkEnd w:id="27"/>
    <w:bookmarkStart w:id="31" w:name="Introdução"/>
    <w:p>
      <w:pPr>
        <w:pStyle w:val="Heading2"/>
      </w:pPr>
      <w:r>
        <w:t xml:space="preserve">Introdução</w:t>
      </w:r>
    </w:p>
    <w:p>
      <w:pPr>
        <w:pStyle w:val="Compact"/>
        <w:numPr>
          <w:ilvl w:val="0"/>
          <w:numId w:val="1005"/>
        </w:numPr>
      </w:pPr>
      <w:hyperlink r:id="rId28">
        <w:r>
          <w:rPr>
            <w:rStyle w:val="Hyperlink"/>
          </w:rPr>
          <w:t xml:space="preserve">Saiba mais sobre o projeto de casos de uso</w:t>
        </w:r>
      </w:hyperlink>
    </w:p>
    <w:p>
      <w:pPr>
        <w:pStyle w:val="Compact"/>
        <w:numPr>
          <w:ilvl w:val="0"/>
          <w:numId w:val="1005"/>
        </w:numPr>
      </w:pPr>
      <w:r>
        <w:t xml:space="preserve">Leia sobre como usar o caso de uso</w:t>
      </w:r>
    </w:p>
    <w:p>
      <w:pPr>
        <w:pStyle w:val="Compact"/>
        <w:numPr>
          <w:ilvl w:val="0"/>
          <w:numId w:val="1005"/>
        </w:numPr>
      </w:pPr>
      <w:hyperlink r:id="rId29">
        <w:r>
          <w:rPr>
            <w:rStyle w:val="Hyperlink"/>
          </w:rPr>
          <w:t xml:space="preserve">Instalar e configurar o caso de uso</w:t>
        </w:r>
      </w:hyperlink>
    </w:p>
    <w:p>
      <w:pPr>
        <w:pStyle w:val="Compact"/>
        <w:numPr>
          <w:ilvl w:val="0"/>
          <w:numId w:val="1005"/>
        </w:numPr>
      </w:pPr>
      <w:hyperlink r:id="rId30">
        <w:r>
          <w:rPr>
            <w:rStyle w:val="Hyperlink"/>
          </w:rPr>
          <w:t xml:space="preserve">O que há de novo nesta versão</w:t>
        </w:r>
      </w:hyperlink>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RN_RegCorpComp/rccm_fcm_2024_03_RN.htm" TargetMode="External" /><Relationship Type="http://schemas.openxmlformats.org/officeDocument/2006/relationships/hyperlink" Id="rId25" Target="https://help.archerirm.cloud/archer_suite_help/en-us/Content/PortalHome/SolutionsHome/sol_home.htm" TargetMode="External" /><Relationship Type="http://schemas.openxmlformats.org/officeDocument/2006/relationships/hyperlink" Id="rId21" Target="https://www.archerirm.community/t5/solution-use-case-overviews/archer-solutions-amp-use-cases/ba-p/572564" TargetMode="External" /><Relationship Type="http://schemas.openxmlformats.org/officeDocument/2006/relationships/hyperlink" Id="rId28" Target="rccm_fcm_design.htm" TargetMode="External" /><Relationship Type="http://schemas.openxmlformats.org/officeDocument/2006/relationships/hyperlink" Id="rId29" Target="rccm_fcm_install.htm" TargetMode="External" /></Relationships>
</file>

<file path=word/_rels/footnotes.xml.rels><?xml version="1.0" encoding="UTF-8"?><Relationships xmlns="http://schemas.openxmlformats.org/package/2006/relationships"><Relationship Type="http://schemas.openxmlformats.org/officeDocument/2006/relationships/hyperlink" Id="rId30" Target="RN_RegCorpComp/rccm_fcm_2024_03_RN.htm" TargetMode="External" /><Relationship Type="http://schemas.openxmlformats.org/officeDocument/2006/relationships/hyperlink" Id="rId25" Target="https://help.archerirm.cloud/archer_suite_help/en-us/Content/PortalHome/SolutionsHome/sol_home.htm" TargetMode="External" /><Relationship Type="http://schemas.openxmlformats.org/officeDocument/2006/relationships/hyperlink" Id="rId21" Target="https://www.archerirm.community/t5/solution-use-case-overviews/archer-solutions-amp-use-cases/ba-p/572564" TargetMode="External" /><Relationship Type="http://schemas.openxmlformats.org/officeDocument/2006/relationships/hyperlink" Id="rId28" Target="rccm_fcm_design.htm" TargetMode="External" /><Relationship Type="http://schemas.openxmlformats.org/officeDocument/2006/relationships/hyperlink" Id="rId29" Target="rccm_fcm_instal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2025-03-06T14:52:27Z</dcterms:created>
  <dcterms:modified xsi:type="dcterms:W3CDTF">2025-03-06T14:52:27Z</dcterms:modified>
</cp:coreProperties>
</file>

<file path=docProps/custom.xml><?xml version="1.0" encoding="utf-8"?>
<Properties xmlns="http://schemas.openxmlformats.org/officeDocument/2006/custom-properties" xmlns:vt="http://schemas.openxmlformats.org/officeDocument/2006/docPropsVTypes"/>
</file>