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Xebecf2964cbcbd4cc88ea97113a38f89790672e"/>
    <w:p>
      <w:pPr>
        <w:pStyle w:val="Heading1"/>
      </w:pPr>
      <w:r>
        <w:t xml:space="preserve">Executar limpeza de caso de uso após a instalação</w:t>
      </w:r>
    </w:p>
    <w:p>
      <w:pPr>
        <w:pStyle w:val="FirstParagraph"/>
      </w:pPr>
      <w:r>
        <w:t xml:space="preserve">Execute essas tarefas após a instalação do caso de uso.</w:t>
      </w:r>
    </w:p>
    <w:p>
      <w:pPr>
        <w:pStyle w:val="BodyText"/>
      </w:pPr>
      <w:r>
        <w:t xml:space="preserve">Nesta página</w:t>
      </w:r>
    </w:p>
    <w:p>
      <w:pPr>
        <w:pStyle w:val="Compact"/>
        <w:numPr>
          <w:ilvl w:val="0"/>
          <w:numId w:val="1001"/>
        </w:numPr>
      </w:pPr>
      <w:hyperlink w:anchor="X1ec694532335463d6fb671bb2d5625b74d300cd">
        <w:r>
          <w:rPr>
            <w:rStyle w:val="Hyperlink"/>
          </w:rPr>
          <w:t xml:space="preserve">Tarefa 1: Analisar e corrigir as dependências em outros casos de uso</w:t>
        </w:r>
      </w:hyperlink>
    </w:p>
    <w:p>
      <w:pPr>
        <w:pStyle w:val="Compact"/>
        <w:numPr>
          <w:ilvl w:val="0"/>
          <w:numId w:val="1001"/>
        </w:numPr>
      </w:pPr>
      <w:hyperlink w:anchor="Tarefa2Excluirobjetosobsoletos">
        <w:r>
          <w:rPr>
            <w:rStyle w:val="Hyperlink"/>
          </w:rPr>
          <w:t xml:space="preserve">Tarefa 2: Excluir objetos obsoletos</w:t>
        </w:r>
      </w:hyperlink>
    </w:p>
    <w:p>
      <w:pPr>
        <w:pStyle w:val="Compact"/>
        <w:numPr>
          <w:ilvl w:val="0"/>
          <w:numId w:val="1001"/>
        </w:numPr>
      </w:pPr>
      <w:hyperlink w:anchor="X3f7e9ab5573e2f1b39a3aa5350151d4fca5d12e">
        <w:r>
          <w:rPr>
            <w:rStyle w:val="Hyperlink"/>
          </w:rPr>
          <w:t xml:space="preserve">Tarefa 3: Validar fórmulas e ordens de cálculo</w:t>
        </w:r>
      </w:hyperlink>
    </w:p>
    <w:p>
      <w:pPr>
        <w:pStyle w:val="Compact"/>
        <w:numPr>
          <w:ilvl w:val="0"/>
          <w:numId w:val="1001"/>
        </w:numPr>
      </w:pPr>
      <w:hyperlink w:anchor="Tarefa4Verificarcamposchave">
        <w:r>
          <w:rPr>
            <w:rStyle w:val="Hyperlink"/>
          </w:rPr>
          <w:t xml:space="preserve">Tarefa 4: Verificar campos-chave</w:t>
        </w:r>
      </w:hyperlink>
    </w:p>
    <w:p>
      <w:pPr>
        <w:pStyle w:val="Compact"/>
        <w:numPr>
          <w:ilvl w:val="0"/>
          <w:numId w:val="1001"/>
        </w:numPr>
      </w:pPr>
      <w:hyperlink w:anchor="X1936c96e494fbe054b0dbc7221f5eb4c41bd012">
        <w:r>
          <w:rPr>
            <w:rStyle w:val="Hyperlink"/>
          </w:rPr>
          <w:t xml:space="preserve">Tarefa 5: Atualizar campos de permissões de registro</w:t>
        </w:r>
      </w:hyperlink>
    </w:p>
    <w:bookmarkStart w:id="20" w:name="Xd0f5c825311e1a9fb6ecace08bca3a25515fb32"/>
    <w:p>
      <w:pPr>
        <w:pStyle w:val="Heading2"/>
      </w:pPr>
      <w:r>
        <w:t xml:space="preserve">Tarefa 1: Analisar e corrigir as dependências em outros casos de uso</w:t>
      </w:r>
    </w:p>
    <w:p>
      <w:pPr>
        <w:pStyle w:val="FirstParagraph"/>
      </w:pPr>
      <w:r>
        <w:t xml:space="preserve">Depois que você instalou o caso de uso, determinados itens não podem aparecer ou funcionar como projetado porque eles dependem de casos de uso que você não têm uma licença. Por exemplo, um campo calculado que faça referência a um aplicativo fora desse caso de uso não validará a menos que você licencie também outro caso de uso que contém o aplicativo. As seções a seguir listam as dependências mais comuns e oferecem as etapas para resolver as dependências. Em cada seção, a coluna Caso de uso relacionados lista casos de uso que você pode ou não ter licenciado. Se você tiver licenciado qualquer um dos casos de uso listados, você pode ignorar essa linha. Se você não tiver licenciado qualquer um dos casos de uso listados, em seguida, as dependências se aplicam a sua instalação e talvez você queira resolvê-las.</w:t>
      </w:r>
    </w:p>
    <w:p>
      <w:pPr>
        <w:pStyle w:val="BodyText"/>
      </w:pPr>
      <w:r>
        <w:rPr>
          <w:b/>
          <w:bCs/>
        </w:rPr>
        <w:t xml:space="preserve">Observação:</w:t>
      </w:r>
      <w:r>
        <w:t xml:space="preserve"> </w:t>
      </w:r>
      <w:r>
        <w:t xml:space="preserve">Não é necessário resolver essas dependências. Você pode optar por ignorar essa etapa, mas deixar esses campos como estão poderá causar confusão ou gerar erros de cálculo.</w:t>
      </w:r>
    </w:p>
    <w:p>
      <w:pPr>
        <w:pStyle w:val="BodyText"/>
      </w:pPr>
      <w:r>
        <w:t xml:space="preserve">Analise as seções a seguir e resolva quaisquer dependências que se aplicam a sua instalação. Você só precisará resolver as dependências que se aplicam aos casos de uso para os quais você não tem uma licença.</w:t>
      </w:r>
    </w:p>
    <w:bookmarkEnd w:id="20"/>
    <w:bookmarkStart w:id="22" w:name="Tarefa2Excluirobjetosobsoletos"/>
    <w:p>
      <w:pPr>
        <w:pStyle w:val="Heading2"/>
      </w:pPr>
      <w:r>
        <w:t xml:space="preserve">Tarefa 2: Excluir objetos obsoletos</w:t>
      </w:r>
    </w:p>
    <w:p>
      <w:pPr>
        <w:pStyle w:val="FirstParagraph"/>
      </w:pPr>
      <w:r>
        <w:t xml:space="preserve">O empacotamento não exclui objetos obsoletos. Exclua esses objetos, pois eles podem afetar o funcionamento dos aplicativos. Siga estas diretrizes:</w:t>
      </w:r>
    </w:p>
    <w:p>
      <w:pPr>
        <w:pStyle w:val="Compact"/>
        <w:numPr>
          <w:ilvl w:val="0"/>
          <w:numId w:val="1002"/>
        </w:numPr>
      </w:pPr>
      <w:r>
        <w:t xml:space="preserve">Se você selecionar sobrepor Layout ao instalar o pacote, o processo de instalação do pacote remove os campos antigos no layout, se esses campos não existirem também sobre o layout do pacote de origem. São removidos do layout de todos os campos na lista Campos disponíveis.</w:t>
      </w:r>
    </w:p>
    <w:p>
      <w:pPr>
        <w:pStyle w:val="Compact"/>
        <w:numPr>
          <w:ilvl w:val="0"/>
          <w:numId w:val="1002"/>
        </w:numPr>
      </w:pPr>
      <w:r>
        <w:t xml:space="preserve">Avalie a necessidade de alguns DDEs (Data Driven Events, eventos orientados por dados), regras preexistentes e ações que não foram atualizadas por meio de empacotamento. Exclua regras e ações obsoletas.</w:t>
      </w:r>
    </w:p>
    <w:p>
      <w:pPr>
        <w:pStyle w:val="Compact"/>
        <w:numPr>
          <w:ilvl w:val="0"/>
          <w:numId w:val="1002"/>
        </w:numPr>
      </w:pPr>
      <w:r>
        <w:t xml:space="preserve">Verifique a ordem de cálculo e de DDE e atualize-a se necessário.</w:t>
      </w:r>
    </w:p>
    <w:p>
      <w:pPr>
        <w:pStyle w:val="Compact"/>
        <w:numPr>
          <w:ilvl w:val="0"/>
          <w:numId w:val="1002"/>
        </w:numPr>
      </w:pPr>
      <w:r>
        <w:t xml:space="preserve">Avalie notificações e relatórios preexistentes que o empacotamento não atualizou. Exclua notificações e relatórios obsoletos.</w:t>
      </w:r>
    </w:p>
    <w:p>
      <w:pPr>
        <w:pStyle w:val="FirstParagraph"/>
      </w:pPr>
      <w:r>
        <w:t xml:space="preserve">Para garantir que todos os objetos obsoletos sejam excluídos, compare o</w:t>
      </w:r>
      <w:r>
        <w:t xml:space="preserve"> </w:t>
      </w:r>
      <w:r>
        <w:rPr>
          <w:i/>
          <w:iCs/>
        </w:rPr>
        <w:t xml:space="preserve">Dicionário de dados</w:t>
      </w:r>
      <w:r>
        <w:t xml:space="preserve"> </w:t>
      </w:r>
      <w:r>
        <w:t xml:space="preserve">a seu ambiente. Para obter mais informações sobre objetos, consulte "Empacotamento"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2"/>
    <w:bookmarkStart w:id="23" w:name="Tarefa3Validarfórmulaseordensdecálculo"/>
    <w:p>
      <w:pPr>
        <w:pStyle w:val="Heading2"/>
      </w:pPr>
      <w:r>
        <w:t xml:space="preserve">Tarefa 3: Validar fórmulas e ordens de cálculo</w:t>
      </w:r>
    </w:p>
    <w:p>
      <w:pPr>
        <w:pStyle w:val="FirstParagraph"/>
      </w:pPr>
      <w:r>
        <w:t xml:space="preserve">Siga estas diretrizes para validar fórmulas e ordens de cálculo:</w:t>
      </w:r>
    </w:p>
    <w:p>
      <w:pPr>
        <w:pStyle w:val="Compact"/>
        <w:numPr>
          <w:ilvl w:val="0"/>
          <w:numId w:val="1003"/>
        </w:numPr>
      </w:pPr>
      <w:r>
        <w:t xml:space="preserve">O processo de empacotamento registrará um erro se a fórmula não for validada. Esse erro pode ser causado por uma fórmula que faz referência a aplicativos ou campos que não existem na instância e que não faziam parte do pacote (por exemplo, campos em aplicativos que fazem parte de um caso de uso diferente). Analise esses campos para determinar se eles são necessários.</w:t>
      </w:r>
    </w:p>
    <w:p>
      <w:pPr>
        <w:pStyle w:val="Compact"/>
        <w:numPr>
          <w:ilvl w:val="1"/>
          <w:numId w:val="1004"/>
        </w:numPr>
      </w:pPr>
      <w:r>
        <w:t xml:space="preserve">Se um campo for necessário, modifique a fórmula para remover as referências a aplicativos ou campos que não existem em sua instância. Os campos que não existem em sua instância são identificados por um ponto de exclamação.</w:t>
      </w:r>
    </w:p>
    <w:p>
      <w:pPr>
        <w:pStyle w:val="Compact"/>
        <w:numPr>
          <w:ilvl w:val="1"/>
          <w:numId w:val="1004"/>
        </w:numPr>
      </w:pPr>
      <w:r>
        <w:t xml:space="preserve">Se um campo não for necessário, exclua-o ou remova-o do layout. Se o campo não for excluído, a remoção da fórmula impede a gravação de erros nos arquivos de registros quando os registros são salvos.</w:t>
      </w:r>
    </w:p>
    <w:p>
      <w:pPr>
        <w:pStyle w:val="Compact"/>
        <w:numPr>
          <w:ilvl w:val="0"/>
          <w:numId w:val="1003"/>
        </w:numPr>
      </w:pPr>
      <w:r>
        <w:t xml:space="preserve">Verifique a ordem dos cálculos de cada aplicativo e subformulário no caso de uso. Consulte o</w:t>
      </w:r>
      <w:r>
        <w:t xml:space="preserve"> </w:t>
      </w:r>
      <w:r>
        <w:rPr>
          <w:i/>
          <w:iCs/>
        </w:rPr>
        <w:t xml:space="preserve">dicionário de dados</w:t>
      </w:r>
      <w:r>
        <w:t xml:space="preserve"> </w:t>
      </w:r>
      <w:r>
        <w:t xml:space="preserve">para conhecer a ordem de cálculo de cada aplicativo ou subformulário.</w:t>
      </w:r>
    </w:p>
    <w:p>
      <w:pPr>
        <w:pStyle w:val="Compact"/>
        <w:numPr>
          <w:ilvl w:val="0"/>
          <w:numId w:val="1003"/>
        </w:numPr>
      </w:pPr>
      <w:r>
        <w:t xml:space="preserve">Atualize a ordem dos cálculos conforme necessário para cada aplicativo e subformulário no caso de uso.</w:t>
      </w:r>
    </w:p>
    <w:p>
      <w:pPr>
        <w:pStyle w:val="FirstParagraph"/>
      </w:pPr>
      <w:r>
        <w:t xml:space="preserve">Para obter mais informações sobre a exclusão de objetos, consulte "Excluindo campos"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3"/>
    <w:bookmarkStart w:id="24" w:name="Tarefa4Verificarcamposchave"/>
    <w:p>
      <w:pPr>
        <w:pStyle w:val="Heading2"/>
      </w:pPr>
      <w:r>
        <w:t xml:space="preserve">Tarefa 4: Verificar campos-chave</w:t>
      </w:r>
    </w:p>
    <w:p>
      <w:pPr>
        <w:pStyle w:val="FirstParagraph"/>
      </w:pPr>
      <w:r>
        <w:t xml:space="preserve">O empacotamento não altera os campos-chave. Para verificar os campos-chave de cada aplicativo, consulte o</w:t>
      </w:r>
      <w:r>
        <w:t xml:space="preserve"> </w:t>
      </w:r>
      <w:r>
        <w:rPr>
          <w:i/>
          <w:iCs/>
        </w:rPr>
        <w:t xml:space="preserve">Dicionário de dados</w:t>
      </w:r>
      <w:r>
        <w:t xml:space="preserve">.</w:t>
      </w:r>
    </w:p>
    <w:bookmarkEnd w:id="24"/>
    <w:bookmarkStart w:id="25" w:name="Xe90dfc14cdddabeb92fd1a926646d421c9d72c0"/>
    <w:p>
      <w:pPr>
        <w:pStyle w:val="Heading2"/>
      </w:pPr>
      <w:r>
        <w:t xml:space="preserve">Tarefa 5: Atualizar campos de permissões de registro</w:t>
      </w:r>
    </w:p>
    <w:p>
      <w:pPr>
        <w:pStyle w:val="FirstParagraph"/>
      </w:pPr>
      <w:r>
        <w:t xml:space="preserve">O empacotamento não removerá campos de permissões de registro herdadas ou preenchidos em um campo de permissões de registro de usuários/grupos. Para verificar os campos de permissões de registro em cada aplicativo, consulte o</w:t>
      </w:r>
      <w:r>
        <w:t xml:space="preserve"> </w:t>
      </w:r>
      <w:r>
        <w:rPr>
          <w:i/>
          <w:iCs/>
        </w:rPr>
        <w:t xml:space="preserve">Dicionário de dados</w:t>
      </w:r>
      <w:r>
        <w:t xml:space="preserve">.</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2025-03-06T14:53:11Z</dcterms:created>
  <dcterms:modified xsi:type="dcterms:W3CDTF">2025-03-06T14:53:11Z</dcterms:modified>
</cp:coreProperties>
</file>

<file path=docProps/custom.xml><?xml version="1.0" encoding="utf-8"?>
<Properties xmlns="http://schemas.openxmlformats.org/officeDocument/2006/custom-properties" xmlns:vt="http://schemas.openxmlformats.org/officeDocument/2006/docPropsVTypes"/>
</file>