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archer-governança-dos-dados-6.5"/>
    <w:p>
      <w:pPr>
        <w:pStyle w:val="Heading1"/>
      </w:pPr>
      <w:r>
        <w:t xml:space="preserve">Archer</w:t>
      </w:r>
      <w:r>
        <w:t xml:space="preserve"> </w:t>
      </w:r>
      <w:r>
        <w:t xml:space="preserve">Governança dos dados 6.5</w:t>
      </w:r>
    </w:p>
    <w:p>
      <w:pPr>
        <w:pStyle w:val="FirstParagraph"/>
      </w:pPr>
      <w:r>
        <w:t xml:space="preserve">A Governança dos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foi criada para oferecer uma estrutura que ajude as organizações a identificar, gerenciar e implementar controles apropriados em torno de atividades de processamento de dados pessoais.</w:t>
      </w:r>
      <w:r>
        <w:t xml:space="preserve"> </w:t>
      </w:r>
      <w:r>
        <w:t xml:space="preserve">Archer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Benef%C3%ADciosdagovernan%C3%A7adedados">
        <w:r>
          <w:rPr>
            <w:rStyle w:val="Hyperlink"/>
          </w:rPr>
          <w:t xml:space="preserve">Benefícios da governança de dados</w:t>
        </w:r>
      </w:hyperlink>
    </w:p>
    <w:p>
      <w:pPr>
        <w:pStyle w:val="Compact"/>
        <w:numPr>
          <w:ilvl w:val="0"/>
          <w:numId w:val="1001"/>
        </w:numPr>
      </w:pPr>
      <w:hyperlink w:anchor="X35d164ab47f545091f2afd26f6790b6c9e0f58c">
        <w:r>
          <w:rPr>
            <w:rStyle w:val="Hyperlink"/>
          </w:rPr>
          <w:t xml:space="preserve">Como a Governança dos dados se enquadra em um programa de risco e conformidade</w:t>
        </w:r>
      </w:hyperlink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1"/>
          <w:numId w:val="1002"/>
        </w:numPr>
      </w:pPr>
      <w:hyperlink w:anchor="X4c9f0ed4225641c1ff1d4f7f9a8426f7ce40e4b">
        <w:r>
          <w:rPr>
            <w:rStyle w:val="Hyperlink"/>
          </w:rPr>
          <w:t xml:space="preserve">Casos de uso relacionados em outras áreas de solução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1" w:name="Benefíciosdagovernançadedados"/>
    <w:p>
      <w:pPr>
        <w:pStyle w:val="Heading2"/>
      </w:pPr>
      <w:r>
        <w:t xml:space="preserve">Benefícios da governança de dados</w:t>
      </w:r>
    </w:p>
    <w:p>
      <w:pPr>
        <w:pStyle w:val="FirstParagraph"/>
      </w:pPr>
      <w:r>
        <w:t xml:space="preserve">A Governança dos dados do ajuda a capacitar as organizações para que mantenham um inventário preciso das atividades de processamento, estabeleçam e apliquem controles documentados em relação ao uso de informações de identificação pessoal e gerenciem requisitos de retenção de dados. Garantir a precisão, a integridade, a confidencialidade e a transparência de informações de identificação pessoal, bem como avaliar regularmente os riscos de proteção de dados associados a seu uso também são pilares fundamentais dos princípios de responsabilidade do GDPR.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1"/>
    <w:bookmarkStart w:id="25" w:name="Xea2c4658b1d251fd606e8332396a11f4f77de33"/>
    <w:p>
      <w:pPr>
        <w:pStyle w:val="Heading2"/>
      </w:pPr>
      <w:r>
        <w:t xml:space="preserve">Como a Governança dos dados se enquadra em um programa de risco e conformidade</w:t>
      </w:r>
    </w:p>
    <w:p>
      <w:pPr>
        <w:pStyle w:val="FirstParagraph"/>
      </w:pPr>
      <w:r>
        <w:t xml:space="preserve">Governança dos dados é um caso de uso na área de solução de Gerenciamento da conformidade regulamentar e corporativa. As seções a seguir descrevem os casos de uso exigidos por Governança dos dados como pré-requisito, para os quais você pode fazer upgrade quando seu programa de privacidade amadurecer e que podem ser integrados, em outras áreas de soluções, para obtenção de outros contextos e funcionalidades de negócios.</w:t>
      </w:r>
    </w:p>
    <w:bookmarkStart w:id="22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A tabela a seguir mostra como este caso de uso se enquadra na área de solução geral Gerenciamento de conformidade regulamentar e corporativa.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mostra como este caso de uso se enquadra na área de solução geral Gerenciamento de conformidade regulamentar e corporativa."/>
      </w:tblPr>
      <w:tblGrid>
        <w:gridCol w:w="2613"/>
        <w:gridCol w:w="2613"/>
        <w:gridCol w:w="2692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Pré-requisitos</w:t>
            </w:r>
          </w:p>
        </w:tc>
        <w:tc>
          <w:tcPr/>
          <w:p>
            <w:pPr>
              <w:pStyle w:val="BodyText"/>
            </w:pPr>
            <w:r>
              <w:t xml:space="preserve">O que você tem</w:t>
            </w:r>
          </w:p>
        </w:tc>
        <w:tc>
          <w:tcPr/>
          <w:p>
            <w:pPr>
              <w:pStyle w:val="BodyText"/>
            </w:pPr>
            <w:r>
              <w:t xml:space="preserve">O que vem depois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problemas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Estabelecer sua hierarquia de negócios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Consolidar e coordenar resultados e planos de remediação de seu programa de privacidade de dados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Gerenciar exceções com aprovação/aceitação adequada de riscos</w:t>
            </w:r>
          </w:p>
          <w:p>
            <w:pPr>
              <w:pStyle w:val="FirstParagraph"/>
            </w:pPr>
            <w:r>
              <w:t xml:space="preserve">Catálogo de terceiros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Documentar a terceiros, subsidiárias e subsidiárias secundárias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Criar o envolvimento de terceiros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Documentar os contratos com terceiros</w:t>
            </w:r>
          </w:p>
        </w:tc>
        <w:tc>
          <w:tcPr/>
          <w:p>
            <w:pPr>
              <w:pStyle w:val="FirstParagraph"/>
            </w:pPr>
            <w:r>
              <w:t xml:space="preserve">Governança dos dados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Fazer o inventário de seus ativos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Avaliar os processos para determinar os controladores de dados, os processadores de dados e os mapas de dados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Controlar os agendamentos de retenção de dados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Manter as declarações de consentimento e os avisos de dados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Identificar os proprietários de ativos e dados</w:t>
            </w:r>
          </w:p>
        </w:tc>
        <w:tc>
          <w:tcPr/>
          <w:p>
            <w:pPr>
              <w:pStyle w:val="FirstParagraph"/>
            </w:pPr>
            <w:r>
              <w:t xml:space="preserve">Gerenciamento do programa de privacidade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Avaliar os riscos das atividades de processamento por meio de avaliações de impacto da privacidade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Avaliar as atividades de processamento de alto risco por meio de projetos de proteção de dados e avaliações de impacto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Gerenciar comunicações com as agências reguladoras</w:t>
            </w:r>
          </w:p>
        </w:tc>
      </w:tr>
    </w:tbl>
    <w:bookmarkEnd w:id="22"/>
    <w:bookmarkStart w:id="24" w:name="X95bed792086d043729f2014098ef2ba58526a7a"/>
    <w:p>
      <w:pPr>
        <w:pStyle w:val="Heading3"/>
      </w:pPr>
      <w:r>
        <w:t xml:space="preserve">Casos de uso relacionados em outras áreas de solução</w:t>
      </w:r>
    </w:p>
    <w:p>
      <w:pPr>
        <w:pStyle w:val="TableCaption"/>
      </w:pPr>
      <w:r>
        <w:t xml:space="preserve">A tabela a seguir mostra os casos de uso em outras áreas de solução que você pode integrar para fins de contexto e funcionalidade de negócios adicionais.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casos de uso em outras áreas de solução que você pode integrar para fins de contexto e funcionalidade de negócios adicionais.Para obter informações sobre estes casos de uso do Archer, consulte a Ajuda das soluções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Caso de uso (área de solução)</w:t>
            </w:r>
          </w:p>
        </w:tc>
        <w:tc>
          <w:tcPr/>
          <w:p>
            <w:pPr>
              <w:pStyle w:val="BodyText"/>
            </w:pPr>
            <w:r>
              <w:t xml:space="preserve">Principal finalidade da relação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Gerenciamento do programa de políticas (Gerenciamento de conformidade regulamentar e corporativa)</w:t>
            </w:r>
            <w:r>
              <w:br/>
            </w:r>
            <w:r>
              <w:t xml:space="preserve">ou</w:t>
            </w:r>
            <w:r>
              <w:br/>
            </w:r>
            <w:r>
              <w:t xml:space="preserve"> Gerenciamento do programa de políticas de TI e segurança (Gerenciamento de riscos de TI e segurança)</w:t>
            </w:r>
          </w:p>
        </w:tc>
        <w:tc>
          <w:tcPr/>
          <w:p>
            <w:pPr>
              <w:pStyle w:val="BodyText"/>
            </w:pPr>
            <w:r>
              <w:t xml:space="preserve">O aplicativo Políticas permite que sua organização marque as políticas aplicáveis para controle das proteções identificadas e das políticas corporativas em relação às atividades de processamento.</w:t>
            </w:r>
          </w:p>
          <w:p>
            <w:pPr>
              <w:pStyle w:val="BodyText"/>
            </w:pPr>
            <w:r>
              <w:t xml:space="preserve">O aplicativo Origens confiáveis permite que sua organização marque os procedimentos de controle e padrões de controle com as seções aplicáveis de normas de privacidade para demonstrar conformidade.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Cyber Incident &amp; Breach Response (Gerenciamento de riscos de TI e segurança)</w:t>
            </w:r>
          </w:p>
        </w:tc>
        <w:tc>
          <w:tcPr/>
          <w:p>
            <w:pPr>
              <w:pStyle w:val="BodyText"/>
            </w:pPr>
            <w:r>
              <w:t xml:space="preserve">O aplicativo Violações de dados permite que as equipes de privacidade e jurídica tenham percepções sobre as violações de dados pessoais ou confidenciais que precisem ser encaminhadas a uma agência reguladora.</w:t>
            </w:r>
          </w:p>
          <w:p>
            <w:pPr>
              <w:pStyle w:val="BodyText"/>
            </w:pPr>
            <w:r>
              <w:t xml:space="preserve">Além disso, todo o caso de uso Cyber Incident &amp; Breach Response pode ajudar sua organização a entender, rastrear e gerenciar incidentes de segurança e violações de dados, especialmente quando estão relacionados a dados pessoais e confidenciais.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Projeto de terceiros (Governança de terceiros)</w:t>
            </w:r>
            <w:r>
              <w:br/>
            </w:r>
            <w:r>
              <w:t xml:space="preserve">ou</w:t>
            </w:r>
            <w:r>
              <w:br/>
            </w:r>
            <w:r>
              <w:t xml:space="preserve"> Governança de terceiros (Governança de terceiros)</w:t>
            </w:r>
          </w:p>
        </w:tc>
        <w:tc>
          <w:tcPr/>
          <w:p>
            <w:pPr>
              <w:pStyle w:val="BodyText"/>
            </w:pPr>
            <w:r>
              <w:t xml:space="preserve">Estes casos de uso podem ajudar sua organização a gerenciar seus envolvimentos com terceiros e a exposição a riscos. Gerenciar um programa de terceiros é extremamente importante ao proteger os dados e ao garantir a conformidade com as ordens de privacidade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Garantia de controles de TI (Gerenciamento de riscos de segurança e TI)</w:t>
            </w:r>
          </w:p>
        </w:tc>
        <w:tc>
          <w:tcPr/>
          <w:p>
            <w:pPr>
              <w:pStyle w:val="BodyText"/>
            </w:pPr>
            <w:r>
              <w:t xml:space="preserve">Este caso de uso pode ajudar sua organização a garantir a conformidade das várias proteções identificadas nos casos de uso Gerenciamento do programa de privacidade e Governança dos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Top-Down Risk Assessment (Gerenciamento do risco operacional e empresarial)</w:t>
            </w:r>
          </w:p>
        </w:tc>
        <w:tc>
          <w:tcPr/>
          <w:p>
            <w:pPr>
              <w:pStyle w:val="BodyText"/>
            </w:pPr>
            <w:r>
              <w:t xml:space="preserve">Este caso de uso pode ajudar sua organização a entender os riscos enfrentados por seu programa de privacidade e gerenciá-los adequadamente.</w:t>
            </w:r>
          </w:p>
        </w:tc>
      </w:tr>
    </w:tbl>
    <w:bookmarkEnd w:id="24"/>
    <w:bookmarkEnd w:id="25"/>
    <w:bookmarkStart w:id="29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7"/>
        </w:numPr>
      </w:pPr>
      <w:hyperlink r:id="rId26">
        <w:r>
          <w:rPr>
            <w:rStyle w:val="Hyperlink"/>
          </w:rPr>
          <w:t xml:space="preserve">Saiba mais sobre a arquitetura de casos de uso</w:t>
        </w:r>
      </w:hyperlink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Saiba como funciona o caso de uso</w:t>
        </w:r>
      </w:hyperlink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Instalar e configurar o caso de uso</w:t>
        </w:r>
      </w:hyperlink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0" Target="https://www.archerirm.community/t5/solution-use-case-overviews/archer-solutions-amp-use-cases/ba-p/572564" TargetMode="External" /><Relationship Type="http://schemas.openxmlformats.org/officeDocument/2006/relationships/hyperlink" Id="rId26" Target="rccm_dg_design.htm" TargetMode="External" /><Relationship Type="http://schemas.openxmlformats.org/officeDocument/2006/relationships/hyperlink" Id="rId28" Target="rccm_dg_install.htm" TargetMode="External" /><Relationship Type="http://schemas.openxmlformats.org/officeDocument/2006/relationships/hyperlink" Id="rId27" Target="rccm_dg_us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0" Target="https://www.archerirm.community/t5/solution-use-case-overviews/archer-solutions-amp-use-cases/ba-p/572564" TargetMode="External" /><Relationship Type="http://schemas.openxmlformats.org/officeDocument/2006/relationships/hyperlink" Id="rId26" Target="rccm_dg_design.htm" TargetMode="External" /><Relationship Type="http://schemas.openxmlformats.org/officeDocument/2006/relationships/hyperlink" Id="rId28" Target="rccm_dg_install.htm" TargetMode="External" /><Relationship Type="http://schemas.openxmlformats.org/officeDocument/2006/relationships/hyperlink" Id="rId27" Target="rccm_dg_us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2025-03-06T14:53:18Z</dcterms:created>
  <dcterms:modified xsi:type="dcterms:W3CDTF">2025-03-06T14:53:18Z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