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usando-a-governança-dos-dados-1"/>
    <w:p>
      <w:pPr>
        <w:pStyle w:val="Heading1"/>
      </w:pPr>
      <w:r>
        <w:t xml:space="preserve">Usando a Governança dos dados</w:t>
      </w:r>
    </w:p>
    <w:p>
      <w:pPr>
        <w:pStyle w:val="FirstParagraph"/>
      </w:pPr>
      <w:r>
        <w:t xml:space="preserve">O caso de uso do Data Governance dá suporte aos processos a seguir.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cessodaGovernan%C3%A7adosdados">
        <w:r>
          <w:rPr>
            <w:rStyle w:val="Hyperlink"/>
          </w:rPr>
          <w:t xml:space="preserve">Processo da Governança dos dados</w:t>
        </w:r>
      </w:hyperlink>
    </w:p>
    <w:p>
      <w:pPr>
        <w:pStyle w:val="Compact"/>
        <w:numPr>
          <w:ilvl w:val="0"/>
          <w:numId w:val="1001"/>
        </w:numPr>
      </w:pPr>
      <w:hyperlink w:anchor="Catalogandoativos">
        <w:r>
          <w:rPr>
            <w:rStyle w:val="Hyperlink"/>
          </w:rPr>
          <w:t xml:space="preserve">Catalogando ativos</w:t>
        </w:r>
      </w:hyperlink>
    </w:p>
    <w:p>
      <w:pPr>
        <w:pStyle w:val="Compact"/>
        <w:numPr>
          <w:ilvl w:val="0"/>
          <w:numId w:val="1001"/>
        </w:numPr>
      </w:pPr>
      <w:hyperlink w:anchor="Identificandoasatividadesdeprocessamento">
        <w:r>
          <w:rPr>
            <w:rStyle w:val="Hyperlink"/>
          </w:rPr>
          <w:t xml:space="preserve">Identificando as atividades de processamento</w:t>
        </w:r>
      </w:hyperlink>
    </w:p>
    <w:bookmarkStart w:id="23" w:name="ProcessodaGovernançadosdados"/>
    <w:p>
      <w:pPr>
        <w:pStyle w:val="Heading2"/>
      </w:pPr>
      <w:r>
        <w:t xml:space="preserve">Processo da Governança dos dados</w:t>
      </w:r>
    </w:p>
    <w:p>
      <w:pPr>
        <w:pStyle w:val="FirstParagraph"/>
      </w:pPr>
      <w:r>
        <w:t xml:space="preserve">O diagrama a seguir mostra as principais fases, as tarefas importantes e os usuários responsáveis por cada tarefa.</w:t>
      </w:r>
    </w:p>
    <w:p>
      <w:pPr>
        <w:pStyle w:val="BodyText"/>
      </w:pPr>
      <w:r>
        <w:drawing>
          <wp:inline>
            <wp:extent cx="5334000" cy="2496004"/>
            <wp:effectExtent b="0" l="0" r="0" t="0"/>
            <wp:docPr descr="Processos do Governança dos dados" title="Processos do Governança dos dados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69c509c366f86bfd95626def3236e2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Catalogandoativos"/>
    <w:p>
      <w:pPr>
        <w:pStyle w:val="Heading2"/>
      </w:pPr>
      <w:r>
        <w:t xml:space="preserve">Catalogando ativos</w:t>
      </w:r>
    </w:p>
    <w:p>
      <w:pPr>
        <w:pStyle w:val="FirstParagraph"/>
      </w:pPr>
      <w:r>
        <w:t xml:space="preserve">A primeira etapa no gerenciamento de um programa de privacidade é identificar quais dados pessoais ou confidenciais sua organização mantém e criar um inventário de agendamentos de retenção da sua organização, avisos de privacidade e declarações de consentimento para aqueles dados. Identifique cada repositório de dados e catalogue-o no aplicativo Ativos de informações. Você também deve documentar os aplicativos, as instalações e os processos de negócios que dão suporte a seus ativos de informações. Os agendamentos de retenção documentados como parte deste caso de uso são aplicáveis a vários dados e podem ser relacionados a todos os ativos de informação aos quais se aplicam. A Biblioteca de avisos e consentimentos permite documentar e rastrear as declarações de consentimento e os avisos de privacidade da organização, bem como metadados sobre essas declarações.</w:t>
      </w:r>
    </w:p>
    <w:bookmarkEnd w:id="24"/>
    <w:bookmarkStart w:id="25" w:name="Identificandoasatividadesdeprocessamento"/>
    <w:p>
      <w:pPr>
        <w:pStyle w:val="Heading2"/>
      </w:pPr>
      <w:r>
        <w:t xml:space="preserve">Identificando as atividades de processamento</w:t>
      </w:r>
    </w:p>
    <w:p>
      <w:pPr>
        <w:pStyle w:val="FirstParagraph"/>
      </w:pPr>
      <w:r>
        <w:t xml:space="preserve">O caso de uso Governança dos dados permite catalogar todas as atividades de processamento de sua organização – como sua organização está usando ou processando os dados dos clientes – e avaliar quais dados são processados, por que, como e por quem. Exemplos de atividades de processamento incluem o recebimento de dados do cliente, o processamento de dados do cliente por um terceiro e o envio de dados do cliente a um terceiro.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2025-03-06T14:53:29Z</dcterms:created>
  <dcterms:modified xsi:type="dcterms:W3CDTF">2025-03-06T14:53:29Z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