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mc-main-content"/>
    <w:bookmarkStart w:id="28" w:name="exported-excel-file-structure-1"/>
    <w:p>
      <w:pPr>
        <w:pStyle w:val="Heading1"/>
      </w:pPr>
      <w:r>
        <w:t xml:space="preserve">Exported Excel File Structure</w:t>
      </w:r>
    </w:p>
    <w:p>
      <w:pPr>
        <w:pStyle w:val="FirstParagraph"/>
      </w:pPr>
      <w:r>
        <w:t xml:space="preserve">The Audit Workpaper Export to Excel option exports record information and the data associated with the record (1-level down) in sub-forms, levels, and application cross-records to an Excel workbook. The workbook is divided into different worksheets, which correspond to the different sections associated to a record. The export process is dynamic; Archer analyzes the record, locates the available data, and displays the data in Microsoft Excel.</w:t>
      </w:r>
    </w:p>
    <w:p>
      <w:pPr>
        <w:pStyle w:val="BodyText"/>
      </w:pPr>
      <w:r>
        <w:t xml:space="preserve">On this page</w:t>
      </w:r>
    </w:p>
    <w:p>
      <w:pPr>
        <w:pStyle w:val="Compact"/>
        <w:numPr>
          <w:ilvl w:val="0"/>
          <w:numId w:val="1001"/>
        </w:numPr>
      </w:pPr>
      <w:hyperlink w:anchor="Namingandlabels">
        <w:r>
          <w:rPr>
            <w:rStyle w:val="Hyperlink"/>
          </w:rPr>
          <w:t xml:space="preserve">Naming and labels</w:t>
        </w:r>
      </w:hyperlink>
    </w:p>
    <w:p>
      <w:pPr>
        <w:pStyle w:val="Compact"/>
        <w:numPr>
          <w:ilvl w:val="0"/>
          <w:numId w:val="1001"/>
        </w:numPr>
      </w:pPr>
      <w:hyperlink w:anchor="Worksheets">
        <w:r>
          <w:rPr>
            <w:rStyle w:val="Hyperlink"/>
          </w:rPr>
          <w:t xml:space="preserve">Worksheets</w:t>
        </w:r>
      </w:hyperlink>
    </w:p>
    <w:p>
      <w:pPr>
        <w:pStyle w:val="Compact"/>
        <w:numPr>
          <w:ilvl w:val="0"/>
          <w:numId w:val="1001"/>
        </w:numPr>
      </w:pPr>
      <w:hyperlink w:anchor="Columnsandvalues">
        <w:r>
          <w:rPr>
            <w:rStyle w:val="Hyperlink"/>
          </w:rPr>
          <w:t xml:space="preserve">Columns and values</w:t>
        </w:r>
      </w:hyperlink>
    </w:p>
    <w:p>
      <w:pPr>
        <w:pStyle w:val="Compact"/>
        <w:numPr>
          <w:ilvl w:val="0"/>
          <w:numId w:val="1001"/>
        </w:numPr>
      </w:pPr>
      <w:hyperlink w:anchor="Glossary">
        <w:r>
          <w:rPr>
            <w:rStyle w:val="Hyperlink"/>
          </w:rPr>
          <w:t xml:space="preserve">Glossary</w:t>
        </w:r>
      </w:hyperlink>
    </w:p>
    <w:p>
      <w:pPr>
        <w:pStyle w:val="Compact"/>
        <w:numPr>
          <w:ilvl w:val="0"/>
          <w:numId w:val="1001"/>
        </w:numPr>
      </w:pPr>
    </w:p>
    <w:p>
      <w:pPr>
        <w:pStyle w:val="Compact"/>
        <w:numPr>
          <w:ilvl w:val="1"/>
          <w:numId w:val="1002"/>
        </w:numPr>
      </w:pPr>
    </w:p>
    <w:p>
      <w:pPr>
        <w:pStyle w:val="Compact"/>
        <w:numPr>
          <w:ilvl w:val="2"/>
          <w:numId w:val="1003"/>
        </w:numPr>
      </w:pPr>
      <w:hyperlink w:anchor="Example">
        <w:r>
          <w:rPr>
            <w:rStyle w:val="Hyperlink"/>
          </w:rPr>
          <w:t xml:space="preserve">Example</w:t>
        </w:r>
      </w:hyperlink>
    </w:p>
    <w:bookmarkStart w:id="20" w:name="Namingandlabels"/>
    <w:p>
      <w:pPr>
        <w:pStyle w:val="Heading2"/>
      </w:pPr>
      <w:r>
        <w:t xml:space="preserve">Naming and labels</w:t>
      </w:r>
    </w:p>
    <w:p>
      <w:pPr>
        <w:numPr>
          <w:ilvl w:val="0"/>
          <w:numId w:val="1004"/>
        </w:numPr>
      </w:pPr>
      <w:r>
        <w:t xml:space="preserve">Each file has a unique file name, using the following naming convention: </w:t>
      </w:r>
      <w:r>
        <w:rPr>
          <w:b/>
          <w:bCs/>
          <w:i/>
          <w:iCs/>
        </w:rPr>
        <w:t xml:space="preserve">&lt;Application Name&gt;</w:t>
      </w:r>
      <w:r>
        <w:rPr>
          <w:b/>
          <w:bCs/>
        </w:rPr>
        <w:t xml:space="preserve">_</w:t>
      </w:r>
      <w:r>
        <w:rPr>
          <w:b/>
          <w:bCs/>
          <w:i/>
          <w:iCs/>
        </w:rPr>
        <w:t xml:space="preserve">&lt;Tracking ID&gt;</w:t>
      </w:r>
      <w:r>
        <w:rPr>
          <w:b/>
          <w:bCs/>
        </w:rPr>
        <w:t xml:space="preserve">_</w:t>
      </w:r>
      <w:r>
        <w:rPr>
          <w:b/>
          <w:bCs/>
          <w:i/>
          <w:iCs/>
        </w:rPr>
        <w:t xml:space="preserve">&lt;Timestamp&gt;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For example: Audit_Workpaper_AO-21_8_2_2023_4_34_04_AM.xlsx</w:t>
      </w:r>
    </w:p>
    <w:p>
      <w:pPr>
        <w:numPr>
          <w:ilvl w:val="0"/>
          <w:numId w:val="1004"/>
        </w:numPr>
      </w:pPr>
      <w:r>
        <w:t xml:space="preserve">Worksheets display the alias names of applications. If alias names include more than 31 characters, Excel truncates the name.</w:t>
      </w:r>
      <w:r>
        <w:br/>
      </w:r>
      <w:r>
        <w:t xml:space="preserve">For example, if fields include cross-referenced applications with multiple levels, whose names include more than 31 characters, and the parent application name is</w:t>
      </w:r>
      <w:r>
        <w:t xml:space="preserve"> </w:t>
      </w:r>
      <w:r>
        <w:rPr>
          <w:b/>
          <w:bCs/>
        </w:rPr>
        <w:t xml:space="preserve">LeveledApplicationIsTooLongForExcel</w:t>
      </w:r>
      <w:r>
        <w:t xml:space="preserve">, Excel renames the cross-references, as follows:</w:t>
      </w:r>
    </w:p>
    <w:p>
      <w:pPr>
        <w:numPr>
          <w:ilvl w:val="1"/>
          <w:numId w:val="1005"/>
        </w:numPr>
      </w:pPr>
      <w:r>
        <w:t xml:space="preserve">LeveledApplicationIsTooLongF...</w:t>
      </w:r>
    </w:p>
    <w:p>
      <w:pPr>
        <w:numPr>
          <w:ilvl w:val="1"/>
          <w:numId w:val="1005"/>
        </w:numPr>
      </w:pPr>
      <w:r>
        <w:t xml:space="preserve">LeveledApplicationIsTooLongF(1)</w:t>
      </w:r>
    </w:p>
    <w:p>
      <w:pPr>
        <w:numPr>
          <w:ilvl w:val="1"/>
          <w:numId w:val="1005"/>
        </w:numPr>
      </w:pPr>
      <w:r>
        <w:t xml:space="preserve">LeveledApplicationIsTooLongF(2)</w:t>
      </w:r>
    </w:p>
    <w:bookmarkEnd w:id="20"/>
    <w:bookmarkStart w:id="21" w:name="Worksheets"/>
    <w:p>
      <w:pPr>
        <w:pStyle w:val="Heading2"/>
      </w:pPr>
      <w:r>
        <w:t xml:space="preserve">Worksheets</w:t>
      </w:r>
    </w:p>
    <w:p>
      <w:pPr>
        <w:numPr>
          <w:ilvl w:val="0"/>
          <w:numId w:val="1006"/>
        </w:numPr>
      </w:pPr>
      <w:r>
        <w:t xml:space="preserve">Excel adds each exported section to a separate worksheet.</w:t>
      </w:r>
    </w:p>
    <w:p>
      <w:pPr>
        <w:numPr>
          <w:ilvl w:val="0"/>
          <w:numId w:val="1006"/>
        </w:numPr>
      </w:pPr>
      <w:r>
        <w:t xml:space="preserve">The first worksheet in the Excel file contains the parent application data.</w:t>
      </w:r>
    </w:p>
    <w:p>
      <w:pPr>
        <w:numPr>
          <w:ilvl w:val="0"/>
          <w:numId w:val="1006"/>
        </w:numPr>
      </w:pPr>
      <w:r>
        <w:t xml:space="preserve">After the parent worksheet, Excel sorts all other worksheets alphabetically.</w:t>
      </w:r>
    </w:p>
    <w:bookmarkEnd w:id="21"/>
    <w:bookmarkStart w:id="22" w:name="Columnsandvalues"/>
    <w:p>
      <w:pPr>
        <w:pStyle w:val="Heading2"/>
      </w:pPr>
      <w:r>
        <w:t xml:space="preserve">Columns and values</w:t>
      </w:r>
    </w:p>
    <w:p>
      <w:pPr>
        <w:numPr>
          <w:ilvl w:val="0"/>
          <w:numId w:val="1007"/>
        </w:numPr>
      </w:pPr>
      <w:r>
        <w:t xml:space="preserve">Worksheets display column names as alias names.</w:t>
      </w:r>
    </w:p>
    <w:p>
      <w:pPr>
        <w:numPr>
          <w:ilvl w:val="0"/>
          <w:numId w:val="1000"/>
        </w:numPr>
      </w:pPr>
      <w:r>
        <w:t xml:space="preserve">You can track any field names that correspond to alias names using the Field Glossary worksheet.</w:t>
      </w:r>
    </w:p>
    <w:p>
      <w:pPr>
        <w:numPr>
          <w:ilvl w:val="0"/>
          <w:numId w:val="1007"/>
        </w:numPr>
      </w:pPr>
      <w:r>
        <w:t xml:space="preserve">Excel arranges the columns inside the worksheet in the order they were selected in the Select Export Data window in</w:t>
      </w:r>
      <w:r>
        <w:t xml:space="preserve"> </w:t>
      </w:r>
      <w:r>
        <w:t xml:space="preserve">Archer</w:t>
      </w:r>
      <w:r>
        <w:t xml:space="preserve">.</w:t>
      </w:r>
    </w:p>
    <w:p>
      <w:pPr>
        <w:numPr>
          <w:ilvl w:val="0"/>
          <w:numId w:val="1007"/>
        </w:numPr>
      </w:pPr>
      <w:r>
        <w:t xml:space="preserve">Calculated fields that are in an error state display as</w:t>
      </w:r>
      <w:r>
        <w:t xml:space="preserve"> </w:t>
      </w:r>
      <w:r>
        <w:rPr>
          <w:i/>
          <w:iCs/>
        </w:rPr>
        <w:t xml:space="preserve">blank</w:t>
      </w:r>
      <w:r>
        <w:t xml:space="preserve">.</w:t>
      </w:r>
    </w:p>
    <w:p>
      <w:pPr>
        <w:numPr>
          <w:ilvl w:val="0"/>
          <w:numId w:val="1007"/>
        </w:numPr>
      </w:pPr>
      <w:r>
        <w:t xml:space="preserve">Tracking IDs are added to each section to allow for easier tracking between</w:t>
      </w:r>
      <w:r>
        <w:t xml:space="preserve"> </w:t>
      </w:r>
      <w:r>
        <w:t xml:space="preserve">Archer</w:t>
      </w:r>
      <w:r>
        <w:t xml:space="preserve"> </w:t>
      </w:r>
      <w:r>
        <w:t xml:space="preserve">and the Excel data.</w:t>
      </w:r>
    </w:p>
    <w:bookmarkEnd w:id="22"/>
    <w:bookmarkStart w:id="27" w:name="Glossary"/>
    <w:p>
      <w:pPr>
        <w:pStyle w:val="Heading2"/>
      </w:pPr>
      <w:r>
        <w:t xml:space="preserve">Glossary</w:t>
      </w:r>
    </w:p>
    <w:p>
      <w:pPr>
        <w:pStyle w:val="FirstParagraph"/>
      </w:pPr>
      <w:r>
        <w:t xml:space="preserve">The glossary includes all associated metadata from the field selections, which allows users to know exact field values, without the need to review the data in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BodyText"/>
      </w:pPr>
      <w:r>
        <w:t xml:space="preserve">The glossary contains the following content. </w:t>
      </w:r>
    </w:p>
    <w:p>
      <w:pPr>
        <w:numPr>
          <w:ilvl w:val="0"/>
          <w:numId w:val="1008"/>
        </w:numPr>
      </w:pPr>
      <w:r>
        <w:t xml:space="preserve">Metadata and system settings that track the following information about the exported fields:</w:t>
      </w:r>
    </w:p>
    <w:p>
      <w:pPr>
        <w:numPr>
          <w:ilvl w:val="1"/>
          <w:numId w:val="1009"/>
        </w:numPr>
      </w:pPr>
      <w:r>
        <w:t xml:space="preserve">Field names.</w:t>
      </w:r>
    </w:p>
    <w:p>
      <w:pPr>
        <w:numPr>
          <w:ilvl w:val="1"/>
          <w:numId w:val="1009"/>
        </w:numPr>
      </w:pPr>
      <w:r>
        <w:t xml:space="preserve">Field types.</w:t>
      </w:r>
    </w:p>
    <w:p>
      <w:pPr>
        <w:numPr>
          <w:ilvl w:val="1"/>
          <w:numId w:val="1009"/>
        </w:numPr>
      </w:pPr>
      <w:r>
        <w:t xml:space="preserve">Aliases.</w:t>
      </w:r>
    </w:p>
    <w:p>
      <w:pPr>
        <w:numPr>
          <w:ilvl w:val="1"/>
          <w:numId w:val="1009"/>
        </w:numPr>
      </w:pPr>
      <w:r>
        <w:t xml:space="preserve">Record values.</w:t>
      </w:r>
    </w:p>
    <w:p>
      <w:pPr>
        <w:numPr>
          <w:ilvl w:val="2"/>
          <w:numId w:val="1010"/>
        </w:numPr>
      </w:pPr>
      <w:r>
        <w:t xml:space="preserve">Multiple values for a field are separated by a semicolon that correspond to values list fields.</w:t>
      </w:r>
    </w:p>
    <w:p>
      <w:pPr>
        <w:numPr>
          <w:ilvl w:val="1"/>
          <w:numId w:val="1009"/>
        </w:numPr>
      </w:pPr>
      <w:r>
        <w:t xml:space="preserve">Required and optional field details.</w:t>
      </w:r>
    </w:p>
    <w:p>
      <w:pPr>
        <w:numPr>
          <w:ilvl w:val="0"/>
          <w:numId w:val="1008"/>
        </w:numPr>
      </w:pPr>
      <w:r>
        <w:t xml:space="preserve">Fields selected to export in</w:t>
      </w:r>
      <w:r>
        <w:t xml:space="preserve"> </w:t>
      </w:r>
      <w:r>
        <w:t xml:space="preserve">Archer</w:t>
      </w:r>
      <w:r>
        <w:t xml:space="preserve">.</w:t>
      </w:r>
    </w:p>
    <w:bookmarkStart w:id="26" w:name="Example"/>
    <w:p>
      <w:pPr>
        <w:pStyle w:val="Heading4"/>
      </w:pPr>
      <w:r>
        <w:t xml:space="preserve">Example</w:t>
      </w:r>
    </w:p>
    <w:p>
      <w:pPr>
        <w:pStyle w:val="FirstParagraph"/>
      </w:pPr>
      <w:r>
        <w:t xml:space="preserve">A user opens an Audit Workpaper record and decides to export the data to Excel. They select fields from the following sections:</w:t>
      </w:r>
    </w:p>
    <w:p>
      <w:pPr>
        <w:numPr>
          <w:ilvl w:val="0"/>
          <w:numId w:val="1011"/>
        </w:numPr>
      </w:pPr>
      <w:r>
        <w:t xml:space="preserve">Audit Workpaper.</w:t>
      </w:r>
    </w:p>
    <w:p>
      <w:pPr>
        <w:numPr>
          <w:ilvl w:val="0"/>
          <w:numId w:val="1011"/>
        </w:numPr>
      </w:pPr>
      <w:r>
        <w:t xml:space="preserve">Audit Procedures.</w:t>
      </w:r>
    </w:p>
    <w:p>
      <w:pPr>
        <w:numPr>
          <w:ilvl w:val="0"/>
          <w:numId w:val="1011"/>
        </w:numPr>
      </w:pPr>
      <w:r>
        <w:t xml:space="preserve">Findings.</w:t>
      </w:r>
    </w:p>
    <w:p>
      <w:pPr>
        <w:numPr>
          <w:ilvl w:val="0"/>
          <w:numId w:val="1011"/>
        </w:numPr>
      </w:pPr>
      <w:r>
        <w:t xml:space="preserve">Observations.</w:t>
      </w:r>
    </w:p>
    <w:p>
      <w:pPr>
        <w:pStyle w:val="FirstParagraph"/>
      </w:pPr>
      <w:r>
        <w:t xml:space="preserve">Archer</w:t>
      </w:r>
      <w:r>
        <w:t xml:space="preserve"> </w:t>
      </w:r>
      <w:r>
        <w:t xml:space="preserve">exports the data and Excel generates a workbook that include a worksheet for each section listed above. Even though the user did not select any data for Field Glossary, any Field Glossary data is automatically exported into the workbook.</w:t>
      </w:r>
    </w:p>
    <w:p>
      <w:pPr>
        <w:pStyle w:val="BodyText"/>
      </w:pPr>
      <w:r>
        <w:t xml:space="preserve">The following diagram displays an example Excel workbook with exported Audit Workpaper data.</w:t>
      </w:r>
    </w:p>
    <w:p>
      <w:pPr>
        <w:pStyle w:val="BodyText"/>
      </w:pPr>
      <w:r>
        <w:drawing>
          <wp:inline>
            <wp:extent cx="5334000" cy="500257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0f7794cb58f77be71b72858fccd0136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End w:id="27"/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2025-03-06T14:36:42Z</dcterms:created>
  <dcterms:modified xsi:type="dcterms:W3CDTF">2025-03-06T14:36:42Z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