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e48928dac413aa1c284790d828f64dde624aa5d"/>
    <w:p>
      <w:pPr>
        <w:pStyle w:val="Heading1"/>
      </w:pPr>
      <w:r>
        <w:t xml:space="preserve">Usando o Gerenciamento do programa de privacidade</w:t>
      </w:r>
    </w:p>
    <w:p>
      <w:pPr>
        <w:pStyle w:val="FirstParagraph"/>
      </w:pPr>
      <w:r>
        <w:t xml:space="preserve">O caso de uso de Privacy Program Management dá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b55316d7234419d409216fcef314cf469b7954">
        <w:r>
          <w:rPr>
            <w:rStyle w:val="Hyperlink"/>
          </w:rPr>
          <w:t xml:space="preserve">Processos do Gerenciamento do programa de privacidade</w:t>
        </w:r>
      </w:hyperlink>
    </w:p>
    <w:p>
      <w:pPr>
        <w:pStyle w:val="Compact"/>
        <w:numPr>
          <w:ilvl w:val="0"/>
          <w:numId w:val="1001"/>
        </w:numPr>
      </w:pPr>
      <w:hyperlink w:anchor="Verificandooinvent%C3%A1riodedados">
        <w:r>
          <w:rPr>
            <w:rStyle w:val="Hyperlink"/>
          </w:rPr>
          <w:t xml:space="preserve">Verificando o inventário de dados</w:t>
        </w:r>
      </w:hyperlink>
    </w:p>
    <w:p>
      <w:pPr>
        <w:pStyle w:val="Compact"/>
        <w:numPr>
          <w:ilvl w:val="0"/>
          <w:numId w:val="1001"/>
        </w:numPr>
      </w:pPr>
      <w:hyperlink w:anchor="X58c95060b7d6fa52fd1aa31fa23a14c2da273a0">
        <w:r>
          <w:rPr>
            <w:rStyle w:val="Hyperlink"/>
          </w:rPr>
          <w:t xml:space="preserve">Avaliando o risco das atividades de processamento</w:t>
        </w:r>
      </w:hyperlink>
    </w:p>
    <w:p>
      <w:pPr>
        <w:pStyle w:val="Compact"/>
        <w:numPr>
          <w:ilvl w:val="0"/>
          <w:numId w:val="1001"/>
        </w:numPr>
      </w:pPr>
      <w:hyperlink w:anchor="Xb8d1723d88618441e21a9b2b63b05bed35f307d">
        <w:r>
          <w:rPr>
            <w:rStyle w:val="Hyperlink"/>
          </w:rPr>
          <w:t xml:space="preserve">Avaliando atividades de processamento de alto risco</w:t>
        </w:r>
      </w:hyperlink>
    </w:p>
    <w:p>
      <w:pPr>
        <w:pStyle w:val="Compact"/>
        <w:numPr>
          <w:ilvl w:val="0"/>
          <w:numId w:val="1001"/>
        </w:numPr>
      </w:pPr>
      <w:hyperlink w:anchor="Comunicandosecomag%C3%AAnciasreguladoras">
        <w:r>
          <w:rPr>
            <w:rStyle w:val="Hyperlink"/>
          </w:rPr>
          <w:t xml:space="preserve">Comunicando-se com agências reguladoras</w:t>
        </w:r>
      </w:hyperlink>
    </w:p>
    <w:bookmarkStart w:id="23" w:name="Xcb55316d7234419d409216fcef314cf469b7954"/>
    <w:p>
      <w:pPr>
        <w:pStyle w:val="Heading2"/>
      </w:pPr>
      <w:r>
        <w:t xml:space="preserve">Processos do Gerenciamento do programa de privacidade</w:t>
      </w:r>
    </w:p>
    <w:p>
      <w:pPr>
        <w:pStyle w:val="FirstParagraph"/>
      </w:pPr>
      <w:r>
        <w:t xml:space="preserve">O diagrama a seguir mostra as principais fases, as tarefas importantes e os usuários responsáveis por cada tarefa.</w:t>
      </w:r>
    </w:p>
    <w:p>
      <w:pPr>
        <w:pStyle w:val="BodyText"/>
      </w:pPr>
      <w:r>
        <w:drawing>
          <wp:inline>
            <wp:extent cx="5334000" cy="2680450"/>
            <wp:effectExtent b="0" l="0" r="0" t="0"/>
            <wp:docPr descr="Processos do Gerenciamento do programa de privacidade" title="Processos do Gerenciamento do programa de privacidade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c95ffdd90c47ee21ccf49bc8f64655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erificandooinventáriodedados"/>
    <w:p>
      <w:pPr>
        <w:pStyle w:val="Heading2"/>
      </w:pPr>
      <w:r>
        <w:t xml:space="preserve">Verificando o inventário de dados</w:t>
      </w:r>
    </w:p>
    <w:p>
      <w:pPr>
        <w:pStyle w:val="FirstParagraph"/>
      </w:pPr>
      <w:r>
        <w:t xml:space="preserve">O caso de uso Governança dos dados (o pré-requisito para este caso de uso) permite que você faça o inventário de todos os ativos de informações e de todas as atividades de processamento. O caso de uso Gerenciamento do programa de privacidade contém uma ferramenta adicional – a Avaliação de identificação de dados – que ajuda você a verificar se identificou todos os dados pessoais do usuário e confidenciais da organização.</w:t>
      </w:r>
    </w:p>
    <w:bookmarkEnd w:id="24"/>
    <w:bookmarkStart w:id="25" w:name="X58c95060b7d6fa52fd1aa31fa23a14c2da273a0"/>
    <w:p>
      <w:pPr>
        <w:pStyle w:val="Heading2"/>
      </w:pPr>
      <w:r>
        <w:t xml:space="preserve">Avaliando o risco das atividades de processamento</w:t>
      </w:r>
    </w:p>
    <w:p>
      <w:pPr>
        <w:pStyle w:val="FirstParagraph"/>
      </w:pPr>
      <w:r>
        <w:t xml:space="preserve">Depois que você faz o inventário de todos os ativos de informações e todas as atividades de processamento, o caso de uso Gerenciamento do programa de privacidade permite que você faça uma avaliação de riscos em todas as atividades de processamento para determinar onde há exposição a riscos de privacidade.</w:t>
      </w:r>
    </w:p>
    <w:p>
      <w:pPr>
        <w:pStyle w:val="BodyText"/>
      </w:pPr>
      <w:r>
        <w:t xml:space="preserve">Aqui estão as tarefas para avaliar o risco da atividade de processamento:</w:t>
      </w:r>
    </w:p>
    <w:p>
      <w:pPr>
        <w:numPr>
          <w:ilvl w:val="0"/>
          <w:numId w:val="1002"/>
        </w:numPr>
      </w:pPr>
      <w:r>
        <w:t xml:space="preserve">Realizar a avaliação de impacto de privacidade.</w:t>
      </w:r>
    </w:p>
    <w:p>
      <w:pPr>
        <w:numPr>
          <w:ilvl w:val="0"/>
          <w:numId w:val="1002"/>
        </w:numPr>
      </w:pPr>
      <w:r>
        <w:t xml:space="preserve">Analisar a avaliação de impacto de privacidade.</w:t>
      </w:r>
    </w:p>
    <w:bookmarkEnd w:id="25"/>
    <w:bookmarkStart w:id="26" w:name="Xb8d1723d88618441e21a9b2b63b05bed35f307d"/>
    <w:p>
      <w:pPr>
        <w:pStyle w:val="Heading2"/>
      </w:pPr>
      <w:r>
        <w:t xml:space="preserve">Avaliando atividades de processamento de alto risco</w:t>
      </w:r>
    </w:p>
    <w:p>
      <w:pPr>
        <w:pStyle w:val="FirstParagraph"/>
      </w:pPr>
      <w:r>
        <w:t xml:space="preserve">Depois que você avalia o risco de privacidade das atividades de processamento de sua organização, o caso de uso Gerenciamento do programa de privacidade permite que você faça mais uma avaliação dessas atividades de processamento que foram consideradas de alto risco.</w:t>
      </w:r>
    </w:p>
    <w:p>
      <w:pPr>
        <w:pStyle w:val="BodyText"/>
      </w:pPr>
      <w:r>
        <w:t xml:space="preserve">Aqui estão as tarefas para avaliar as atividades de processamento de alto risco:</w:t>
      </w:r>
    </w:p>
    <w:p>
      <w:pPr>
        <w:numPr>
          <w:ilvl w:val="0"/>
          <w:numId w:val="1003"/>
        </w:numPr>
      </w:pPr>
      <w:r>
        <w:t xml:space="preserve">Identificar as atividades de processamento de alto risco sujeitas a uma DPIA.</w:t>
      </w:r>
    </w:p>
    <w:p>
      <w:pPr>
        <w:numPr>
          <w:ilvl w:val="0"/>
          <w:numId w:val="1003"/>
        </w:numPr>
      </w:pPr>
      <w:r>
        <w:t xml:space="preserve">Criar projetos de proteção de dados.</w:t>
      </w:r>
    </w:p>
    <w:p>
      <w:pPr>
        <w:numPr>
          <w:ilvl w:val="0"/>
          <w:numId w:val="1003"/>
        </w:numPr>
      </w:pPr>
      <w:r>
        <w:t xml:space="preserve">Determinar se deseja executar uma DPIA.</w:t>
      </w:r>
    </w:p>
    <w:p>
      <w:pPr>
        <w:numPr>
          <w:ilvl w:val="0"/>
          <w:numId w:val="1003"/>
        </w:numPr>
      </w:pPr>
      <w:r>
        <w:t xml:space="preserve">Realizar as DPIAs.</w:t>
      </w:r>
    </w:p>
    <w:p>
      <w:pPr>
        <w:numPr>
          <w:ilvl w:val="0"/>
          <w:numId w:val="1003"/>
        </w:numPr>
      </w:pPr>
      <w:r>
        <w:t xml:space="preserve">Analisar DPIAs.</w:t>
      </w:r>
    </w:p>
    <w:p>
      <w:pPr>
        <w:numPr>
          <w:ilvl w:val="0"/>
          <w:numId w:val="1003"/>
        </w:numPr>
      </w:pPr>
      <w:r>
        <w:t xml:space="preserve">Identificar os planos de tratamento de riscos.</w:t>
      </w:r>
    </w:p>
    <w:p>
      <w:pPr>
        <w:numPr>
          <w:ilvl w:val="0"/>
          <w:numId w:val="1003"/>
        </w:numPr>
      </w:pPr>
      <w:r>
        <w:t xml:space="preserve">Consultar a autoridade de supervisão.</w:t>
      </w:r>
    </w:p>
    <w:bookmarkEnd w:id="26"/>
    <w:bookmarkStart w:id="27" w:name="Comunicandosecomagênciasreguladoras"/>
    <w:p>
      <w:pPr>
        <w:pStyle w:val="Heading2"/>
      </w:pPr>
      <w:r>
        <w:t xml:space="preserve">Comunicando-se com agências reguladoras</w:t>
      </w:r>
    </w:p>
    <w:p>
      <w:pPr>
        <w:pStyle w:val="FirstParagraph"/>
      </w:pPr>
      <w:r>
        <w:t xml:space="preserve">O caso de uso Gerenciamento do programa de privacidade permite documentar e rastrear a comunicação entre sua organização e qualquer agência reguladora. Existem 2 tipos de comunicação compatíveis com o caso de uso: uma consulta de risco de privacidade, para casos em que você deseja analisar uma atividade de processamento com potencial de alto risco , e uma notificação de violação de dados, para quando precisar informar as agências reguladoras e os sujeitos dos dados sobre uma violação de dados.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2025-03-06T14:54:11Z</dcterms:created>
  <dcterms:modified xsi:type="dcterms:W3CDTF">2025-03-06T14:54:11Z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