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archer-audit-planning-quality-2024.11"/>
    <w:p>
      <w:pPr>
        <w:pStyle w:val="Heading1"/>
      </w:pPr>
      <w:r>
        <w:t xml:space="preserve">Archer Audit Planning &amp; Quality 2024.11</w:t>
      </w:r>
    </w:p>
    <w:p>
      <w:pPr>
        <w:pStyle w:val="FirstParagraph"/>
      </w:pPr>
      <w:r>
        <w:t xml:space="preserve">Archer Audit Planning &amp; Quality enables internal audit teams to define and risk assess their audit entities and universe, plan for audit engagements in upcoming periods, and manage their audit staff and schedule.</w:t>
      </w:r>
    </w:p>
    <w:p>
      <w:pPr>
        <w:pStyle w:val="BodyText"/>
      </w:pPr>
      <w:r>
        <w:t xml:space="preserve">On this page</w:t>
      </w:r>
    </w:p>
    <w:p>
      <w:pPr>
        <w:pStyle w:val="Compact"/>
        <w:numPr>
          <w:ilvl w:val="0"/>
          <w:numId w:val="1001"/>
        </w:numPr>
      </w:pPr>
      <w:hyperlink w:anchor="X7cac41deba24b2407ee9fb250ee55cde180a2a2">
        <w:r>
          <w:rPr>
            <w:rStyle w:val="Hyperlink"/>
          </w:rPr>
          <w:t xml:space="preserve">Benefits of Using Audit Planning &amp; Quality Use Case</w:t>
        </w:r>
      </w:hyperlink>
    </w:p>
    <w:p>
      <w:pPr>
        <w:pStyle w:val="Compact"/>
        <w:numPr>
          <w:ilvl w:val="0"/>
          <w:numId w:val="1001"/>
        </w:numPr>
      </w:pPr>
      <w:hyperlink w:anchor="X33fefdb4c38853c49478554852400fdf84c19fb">
        <w:r>
          <w:rPr>
            <w:rStyle w:val="Hyperlink"/>
          </w:rPr>
          <w:t xml:space="preserve">How Audit Planning &amp; Quality Fits into a Risk and Compliance Program</w:t>
        </w:r>
      </w:hyperlink>
    </w:p>
    <w:p>
      <w:pPr>
        <w:pStyle w:val="Compact"/>
        <w:numPr>
          <w:ilvl w:val="0"/>
          <w:numId w:val="1001"/>
        </w:numPr>
      </w:pPr>
    </w:p>
    <w:p>
      <w:pPr>
        <w:pStyle w:val="Compact"/>
        <w:numPr>
          <w:ilvl w:val="1"/>
          <w:numId w:val="1002"/>
        </w:numPr>
      </w:pPr>
      <w:hyperlink w:anchor="PrerequisiteandNextUseCases">
        <w:r>
          <w:rPr>
            <w:rStyle w:val="Hyperlink"/>
          </w:rPr>
          <w:t xml:space="preserve">Prerequisite and Next Use Cases</w:t>
        </w:r>
      </w:hyperlink>
    </w:p>
    <w:p>
      <w:pPr>
        <w:pStyle w:val="Compact"/>
        <w:numPr>
          <w:ilvl w:val="1"/>
          <w:numId w:val="1002"/>
        </w:numPr>
      </w:pPr>
      <w:hyperlink w:anchor="RelatedUseCasesinOtherSolutionAreas">
        <w:r>
          <w:rPr>
            <w:rStyle w:val="Hyperlink"/>
          </w:rPr>
          <w:t xml:space="preserve">Related Use Cases in Other Solution Areas</w:t>
        </w:r>
      </w:hyperlink>
    </w:p>
    <w:p>
      <w:pPr>
        <w:pStyle w:val="Compact"/>
        <w:numPr>
          <w:ilvl w:val="0"/>
          <w:numId w:val="1001"/>
        </w:numPr>
      </w:pPr>
      <w:hyperlink w:anchor="Getstarted">
        <w:r>
          <w:rPr>
            <w:rStyle w:val="Hyperlink"/>
          </w:rPr>
          <w:t xml:space="preserve">Get started</w:t>
        </w:r>
      </w:hyperlink>
    </w:p>
    <w:bookmarkStart w:id="21" w:name="X7cac41deba24b2407ee9fb250ee55cde180a2a2"/>
    <w:p>
      <w:pPr>
        <w:pStyle w:val="Heading2"/>
      </w:pPr>
      <w:r>
        <w:t xml:space="preserve">Benefits of Using Audit Planning &amp; Quality Use Case</w:t>
      </w:r>
    </w:p>
    <w:p>
      <w:pPr>
        <w:pStyle w:val="FirstParagraph"/>
      </w:pPr>
      <w:r>
        <w:t xml:space="preserve">Audit Planning &amp; Quality integrates rich management risk and control information, enabling internal audit to ensure their audit objectives are aligned with enterprise risk management and other related groups. The use case puts you in control of the entire audit planning lifecycle, enabling improved governance of audit-related activities while also providing integration with your risk and control functions.</w:t>
      </w:r>
    </w:p>
    <w:p>
      <w:pPr>
        <w:pStyle w:val="BodyText"/>
      </w:pPr>
      <w:r>
        <w:t xml:space="preserve">For the key features and benefits of this use case, see the Data Sheet on the</w:t>
      </w:r>
      <w:r>
        <w:t xml:space="preserve"> </w:t>
      </w:r>
      <w:r>
        <w:t xml:space="preserve">Archer Community</w:t>
      </w:r>
      <w:r>
        <w:t xml:space="preserve">:</w:t>
      </w:r>
      <w:r>
        <w:t xml:space="preserve"> </w:t>
      </w:r>
      <w:hyperlink r:id="rId20">
        <w:r>
          <w:rPr>
            <w:rStyle w:val="Hyperlink"/>
          </w:rPr>
          <w:t xml:space="preserve">https://www.archerirm.community/t5/solution-use-case-overviews/archer-solutions-amp-use-cases/ba-p/572564</w:t>
        </w:r>
      </w:hyperlink>
    </w:p>
    <w:bookmarkEnd w:id="21"/>
    <w:bookmarkStart w:id="25" w:name="X33fefdb4c38853c49478554852400fdf84c19fb"/>
    <w:p>
      <w:pPr>
        <w:pStyle w:val="Heading2"/>
      </w:pPr>
      <w:r>
        <w:t xml:space="preserve">How Audit Planning &amp; Quality Fits into a Risk and Compliance Program</w:t>
      </w:r>
    </w:p>
    <w:p>
      <w:pPr>
        <w:pStyle w:val="FirstParagraph"/>
      </w:pPr>
      <w:r>
        <w:t xml:space="preserve">Audit Planning &amp; Quality is a use case in the Audit Management solution area. The following sections describe the use cases that Audit Planning &amp; Quality requires as a prerequisite, which use cases you can upgrade to as your audit program matures, and which use cases in other solution areas you can integrate for additional business context and functionality.</w:t>
      </w:r>
    </w:p>
    <w:bookmarkStart w:id="22" w:name="PrerequisiteandNextUseCases"/>
    <w:p>
      <w:pPr>
        <w:pStyle w:val="Heading3"/>
      </w:pPr>
      <w:r>
        <w:t xml:space="preserve">Prerequisite and Next Use Cases</w:t>
      </w:r>
    </w:p>
    <w:p>
      <w:pPr>
        <w:pStyle w:val="TableCaption"/>
      </w:pPr>
      <w:r>
        <w:t xml:space="preserve">The following table shows how this use case fits into the overall Audit Management solution area.</w:t>
      </w:r>
    </w:p>
    <w:tbl>
      <w:tblPr>
        <w:tblStyle w:val="Table"/>
        <w:tblW w:type="pct" w:w="5000"/>
        <w:tblLayout w:type="fixed"/>
        <w:tblLook w:firstRow="1" w:lastRow="0" w:firstColumn="0" w:lastColumn="0" w:noHBand="0" w:noVBand="0" w:val="0020"/>
        <w:tblCaption w:val="The following table shows how this use case fits into the overall Audit Management solution area."/>
      </w:tblPr>
      <w:tblGrid>
        <w:gridCol w:w="2613"/>
        <w:gridCol w:w="2613"/>
        <w:gridCol w:w="2692"/>
      </w:tblGrid>
      <w:tr>
        <w:trPr>
          <w:tblHeader w:val="on"/>
        </w:trPr>
        <w:tc>
          <w:tcPr/>
          <w:p>
            <w:pPr>
              <w:jc w:val="center"/>
            </w:pPr>
            <w:r>
              <w:t xml:space="preserve">Prerequisites</w:t>
            </w:r>
          </w:p>
        </w:tc>
        <w:tc>
          <w:tcPr/>
          <w:p>
            <w:pPr>
              <w:jc w:val="center"/>
            </w:pPr>
            <w:r>
              <w:t xml:space="preserve">What you have</w:t>
            </w:r>
          </w:p>
        </w:tc>
        <w:tc>
          <w:tcPr/>
          <w:p>
            <w:pPr>
              <w:jc w:val="center"/>
            </w:pPr>
            <w:r>
              <w:t xml:space="preserve">What's next</w:t>
            </w:r>
          </w:p>
        </w:tc>
      </w:tr>
      <w:tr>
        <w:tc>
          <w:tcPr/>
          <w:p>
            <w:pPr>
              <w:jc w:val="center"/>
            </w:pPr>
            <w:r>
              <w:t xml:space="preserve">Issues Management</w:t>
            </w:r>
          </w:p>
        </w:tc>
        <w:tc>
          <w:tcPr/>
          <w:p>
            <w:pPr>
              <w:jc w:val="center"/>
            </w:pPr>
            <w:r>
              <w:t xml:space="preserve">Audit Planning &amp; Quality</w:t>
            </w:r>
          </w:p>
        </w:tc>
        <w:tc>
          <w:tcPr/>
          <w:p>
            <w:pPr>
              <w:jc w:val="center"/>
            </w:pPr>
            <w:r>
              <w:t xml:space="preserve">Explore related use cases in other Solution areas. See the following section.</w:t>
            </w:r>
          </w:p>
        </w:tc>
      </w:tr>
      <w:tr>
        <w:tc>
          <w:tcPr/>
          <w:p>
            <w:pPr>
              <w:pStyle w:val="Compact"/>
              <w:numPr>
                <w:ilvl w:val="0"/>
                <w:numId w:val="1003"/>
              </w:numPr>
              <w:jc w:val="center"/>
            </w:pPr>
            <w:r>
              <w:t xml:space="preserve">Establish your business hierarchy</w:t>
            </w:r>
          </w:p>
          <w:p>
            <w:pPr>
              <w:pStyle w:val="Compact"/>
              <w:numPr>
                <w:ilvl w:val="0"/>
                <w:numId w:val="1003"/>
              </w:numPr>
              <w:jc w:val="center"/>
            </w:pPr>
            <w:r>
              <w:t xml:space="preserve">Consolidate and coordinate findings and remediation plans from risk, compliance, audits, and other assessments</w:t>
            </w:r>
          </w:p>
          <w:p>
            <w:pPr>
              <w:pStyle w:val="Compact"/>
              <w:numPr>
                <w:ilvl w:val="0"/>
                <w:numId w:val="1003"/>
              </w:numPr>
              <w:jc w:val="center"/>
            </w:pPr>
            <w:r>
              <w:t xml:space="preserve">Manage exceptions with appropriate risk sign-off acceptance.</w:t>
            </w:r>
          </w:p>
        </w:tc>
        <w:tc>
          <w:tcPr/>
          <w:p>
            <w:pPr>
              <w:pStyle w:val="Compact"/>
              <w:numPr>
                <w:ilvl w:val="0"/>
                <w:numId w:val="1004"/>
              </w:numPr>
              <w:jc w:val="center"/>
            </w:pPr>
            <w:r>
              <w:t xml:space="preserve">Plan audits based on risk assessments</w:t>
            </w:r>
          </w:p>
          <w:p>
            <w:pPr>
              <w:numPr>
                <w:ilvl w:val="0"/>
                <w:numId w:val="1004"/>
              </w:numPr>
              <w:jc w:val="center"/>
            </w:pPr>
            <w:r>
              <w:t xml:space="preserve">Manage staff and schedule audits</w:t>
            </w:r>
          </w:p>
          <w:p>
            <w:pPr>
              <w:numPr>
                <w:ilvl w:val="0"/>
                <w:numId w:val="1004"/>
              </w:numPr>
              <w:jc w:val="center"/>
            </w:pPr>
            <w:r>
              <w:t xml:space="preserve">Create audit plans</w:t>
            </w:r>
          </w:p>
          <w:p>
            <w:pPr>
              <w:pStyle w:val="Compact"/>
              <w:numPr>
                <w:ilvl w:val="0"/>
                <w:numId w:val="1004"/>
              </w:numPr>
              <w:jc w:val="center"/>
            </w:pPr>
            <w:r>
              <w:t xml:space="preserve">Evaluate the audit team</w:t>
            </w:r>
          </w:p>
        </w:tc>
        <w:tc>
          <w:tcPr/>
          <w:p>
            <w:pPr>
              <w:jc w:val="center"/>
            </w:pPr>
            <w:r>
              <w:t xml:space="preserve"> </w:t>
            </w:r>
          </w:p>
        </w:tc>
      </w:tr>
      <w:tr>
        <w:tc>
          <w:tcPr/>
          <w:p>
            <w:pPr>
              <w:jc w:val="center"/>
            </w:pPr>
            <w:r>
              <w:t xml:space="preserve">Enterprise Catalog</w:t>
            </w:r>
          </w:p>
        </w:tc>
        <w:tc>
          <w:tcPr/>
          <w:p>
            <w:pPr>
              <w:jc w:val="center"/>
            </w:pPr>
            <w:r>
              <w:t xml:space="preserve"> </w:t>
            </w:r>
          </w:p>
        </w:tc>
        <w:tc>
          <w:tcPr/>
          <w:p>
            <w:pPr>
              <w:jc w:val="center"/>
            </w:pPr>
            <w:r>
              <w:t xml:space="preserve"> </w:t>
            </w:r>
          </w:p>
        </w:tc>
      </w:tr>
      <w:tr>
        <w:tc>
          <w:tcPr/>
          <w:p>
            <w:pPr>
              <w:jc w:val="center"/>
            </w:pPr>
            <w:r>
              <w:t xml:space="preserve">Audit Engagements &amp; Workpapers</w:t>
            </w:r>
          </w:p>
        </w:tc>
        <w:tc>
          <w:tcPr/>
          <w:p>
            <w:pPr>
              <w:jc w:val="center"/>
            </w:pPr>
            <w:r>
              <w:t xml:space="preserve"> </w:t>
            </w:r>
          </w:p>
        </w:tc>
        <w:tc>
          <w:tcPr/>
          <w:p>
            <w:pPr>
              <w:jc w:val="center"/>
            </w:pPr>
            <w:r>
              <w:t xml:space="preserve"> </w:t>
            </w:r>
          </w:p>
        </w:tc>
      </w:tr>
      <w:tr>
        <w:tc>
          <w:tcPr/>
          <w:p>
            <w:pPr>
              <w:pStyle w:val="Compact"/>
              <w:numPr>
                <w:ilvl w:val="0"/>
                <w:numId w:val="1005"/>
              </w:numPr>
              <w:jc w:val="center"/>
            </w:pPr>
            <w:r>
              <w:t xml:space="preserve">Document your audit universe</w:t>
            </w:r>
          </w:p>
          <w:p>
            <w:pPr>
              <w:pStyle w:val="Compact"/>
              <w:numPr>
                <w:ilvl w:val="0"/>
                <w:numId w:val="1005"/>
              </w:numPr>
              <w:jc w:val="center"/>
            </w:pPr>
            <w:r>
              <w:t xml:space="preserve">Create audit engagements and workpapers</w:t>
            </w:r>
          </w:p>
          <w:p>
            <w:pPr>
              <w:pStyle w:val="Compact"/>
              <w:numPr>
                <w:ilvl w:val="0"/>
                <w:numId w:val="1005"/>
              </w:numPr>
              <w:jc w:val="center"/>
            </w:pPr>
            <w:r>
              <w:t xml:space="preserve">Create a centralized Audit Program Library and workpaper repository</w:t>
            </w:r>
          </w:p>
          <w:p>
            <w:pPr>
              <w:pStyle w:val="Compact"/>
              <w:numPr>
                <w:ilvl w:val="0"/>
                <w:numId w:val="1005"/>
              </w:numPr>
              <w:jc w:val="center"/>
            </w:pPr>
            <w:r>
              <w:t xml:space="preserve">Capture audit observations and manage audit findings and remediation plans</w:t>
            </w:r>
          </w:p>
        </w:tc>
        <w:tc>
          <w:tcPr/>
          <w:p>
            <w:pPr>
              <w:jc w:val="center"/>
            </w:pPr>
            <w:r>
              <w:t xml:space="preserve"> </w:t>
            </w:r>
          </w:p>
        </w:tc>
        <w:tc>
          <w:tcPr/>
          <w:p>
            <w:pPr>
              <w:jc w:val="center"/>
            </w:pPr>
            <w:r>
              <w:t xml:space="preserve"> </w:t>
            </w:r>
          </w:p>
        </w:tc>
      </w:tr>
    </w:tbl>
    <w:bookmarkEnd w:id="22"/>
    <w:bookmarkStart w:id="24" w:name="RelatedUseCasesinOtherSolutionAreas"/>
    <w:p>
      <w:pPr>
        <w:pStyle w:val="Heading3"/>
      </w:pPr>
      <w:r>
        <w:t xml:space="preserve">Related Use Cases in Other Solution Areas</w:t>
      </w:r>
    </w:p>
    <w:p>
      <w:pPr>
        <w:pStyle w:val="TableCaption"/>
      </w:pPr>
      <w:r>
        <w:t xml:space="preserve">The following table shows the use cases in other solution areas you can integrate for additional business context and functionality.</w:t>
      </w:r>
    </w:p>
    <w:p>
      <w:pPr>
        <w:pStyle w:val="TableCaption"/>
      </w:pPr>
      <w:r>
        <w:t xml:space="preserve">For information on these</w:t>
      </w:r>
      <w:r>
        <w:t xml:space="preserve"> </w:t>
      </w:r>
      <w:r>
        <w:t xml:space="preserve">Archer</w:t>
      </w:r>
      <w:r>
        <w:t xml:space="preserve"> </w:t>
      </w:r>
      <w:r>
        <w:t xml:space="preserve">use cases, see the </w:t>
      </w:r>
      <w:hyperlink r:id="rId23">
        <w:r>
          <w:rPr>
            <w:rStyle w:val="Hyperlink"/>
          </w:rPr>
          <w:t xml:space="preserve">Archer Solutions Help.</w:t>
        </w:r>
      </w:hyperlink>
    </w:p>
    <w:tbl>
      <w:tblPr>
        <w:tblStyle w:val="Table"/>
        <w:tblW w:type="auto" w:w="0"/>
        <w:tblLook w:firstRow="1" w:lastRow="0" w:firstColumn="0" w:lastColumn="0" w:noHBand="0" w:noVBand="0" w:val="0020"/>
        <w:tblCaption w:val="The following table shows the use cases in other solution areas you can integrate for additional business context and functionality.For information on these Archer use cases, see the Archer Solutions Help."/>
      </w:tblPr>
      <w:tblGrid>
        <w:gridCol w:w="2640"/>
        <w:gridCol w:w="2640"/>
        <w:gridCol w:w="2640"/>
      </w:tblGrid>
      <w:tr>
        <w:trPr>
          <w:tblHeader w:val="on"/>
        </w:trPr>
        <w:tc>
          <w:tcPr/>
          <w:p>
            <w:pPr>
              <w:pStyle w:val="BodyText"/>
            </w:pPr>
            <w:r>
              <w:t xml:space="preserve">Application</w:t>
            </w:r>
          </w:p>
        </w:tc>
        <w:tc>
          <w:tcPr/>
          <w:p>
            <w:pPr>
              <w:pStyle w:val="BodyText"/>
            </w:pPr>
            <w:r>
              <w:t xml:space="preserve">Use Cases</w:t>
            </w:r>
          </w:p>
        </w:tc>
        <w:tc>
          <w:tcPr/>
          <w:p>
            <w:pPr>
              <w:pStyle w:val="BodyText"/>
            </w:pPr>
            <w:r>
              <w:t xml:space="preserve">Primary Purpose(s) of the Relationship</w:t>
            </w:r>
          </w:p>
        </w:tc>
      </w:tr>
      <w:tr>
        <w:tc>
          <w:tcPr/>
          <w:p>
            <w:pPr>
              <w:pStyle w:val="BodyText"/>
            </w:pPr>
            <w:r>
              <w:t xml:space="preserve">Control Procedures / Control sets</w:t>
            </w:r>
          </w:p>
        </w:tc>
        <w:tc>
          <w:tcPr/>
          <w:p>
            <w:pPr>
              <w:pStyle w:val="BodyText"/>
            </w:pPr>
            <w:r>
              <w:t xml:space="preserve">Controls Assurance Program Management</w:t>
            </w:r>
            <w:r>
              <w:br/>
            </w:r>
            <w:r>
              <w:br/>
            </w:r>
            <w:r>
              <w:t xml:space="preserve">IT Controls Assurance</w:t>
            </w:r>
            <w:r>
              <w:br/>
            </w:r>
            <w:r>
              <w:br/>
            </w:r>
            <w:r>
              <w:t xml:space="preserve">IT Risk Management</w:t>
            </w:r>
            <w:r>
              <w:br/>
            </w:r>
            <w:r>
              <w:br/>
            </w:r>
            <w:r>
              <w:t xml:space="preserve">Risk Inventory and Top-Down Assessment</w:t>
            </w:r>
          </w:p>
        </w:tc>
        <w:tc>
          <w:tcPr/>
          <w:p>
            <w:pPr>
              <w:pStyle w:val="BodyText"/>
            </w:pPr>
            <w:r>
              <w:t xml:space="preserve">When you scope Control Procedures as an audit entity, this allows the Data Feed Manager to populate the related risks and controls associated with the Control Procedures record.</w:t>
            </w:r>
          </w:p>
        </w:tc>
      </w:tr>
      <w:tr>
        <w:tc>
          <w:tcPr/>
          <w:p>
            <w:pPr>
              <w:pStyle w:val="BodyText"/>
            </w:pPr>
            <w:r>
              <w:t xml:space="preserve">Risks</w:t>
            </w:r>
          </w:p>
        </w:tc>
        <w:tc>
          <w:tcPr/>
          <w:p>
            <w:pPr>
              <w:pStyle w:val="BodyText"/>
            </w:pPr>
            <w:r>
              <w:t xml:space="preserve">Risk Catalog</w:t>
            </w:r>
          </w:p>
          <w:p>
            <w:pPr>
              <w:pStyle w:val="BodyText"/>
            </w:pPr>
            <w:r>
              <w:t xml:space="preserve">Risk Inventory and Top-Down Assessment</w:t>
            </w:r>
          </w:p>
          <w:p>
            <w:pPr>
              <w:pStyle w:val="BodyText"/>
            </w:pPr>
            <w:r>
              <w:t xml:space="preserve">ISMS</w:t>
            </w:r>
          </w:p>
          <w:p>
            <w:pPr>
              <w:pStyle w:val="BodyText"/>
            </w:pPr>
            <w:r>
              <w:t xml:space="preserve">IT Risk Management</w:t>
            </w:r>
          </w:p>
        </w:tc>
        <w:tc>
          <w:tcPr/>
          <w:p>
            <w:pPr>
              <w:pStyle w:val="BodyText"/>
            </w:pPr>
            <w:r>
              <w:t xml:space="preserve">When you scope by Risks as an audit entity, this allows the Data Feed Manager to populate the related risks and controls associated with the Risks record.</w:t>
            </w:r>
          </w:p>
        </w:tc>
      </w:tr>
      <w:tr>
        <w:tc>
          <w:tcPr/>
          <w:p>
            <w:pPr>
              <w:pStyle w:val="BodyText"/>
            </w:pPr>
            <w:r>
              <w:t xml:space="preserve">Process Narratives</w:t>
            </w:r>
          </w:p>
        </w:tc>
        <w:tc>
          <w:tcPr/>
          <w:p>
            <w:pPr>
              <w:pStyle w:val="BodyText"/>
            </w:pPr>
            <w:r>
              <w:t xml:space="preserve">Financial Controls Monitoring</w:t>
            </w:r>
          </w:p>
        </w:tc>
        <w:tc>
          <w:tcPr/>
          <w:p>
            <w:pPr>
              <w:pStyle w:val="BodyText"/>
            </w:pPr>
            <w:r>
              <w:t xml:space="preserve">When you scope by Process Narratives into an audit entity, this allows the Data Feed Manager to populate the related risks and controls associated with the Process Narratives record.</w:t>
            </w:r>
          </w:p>
        </w:tc>
      </w:tr>
      <w:tr>
        <w:tc>
          <w:tcPr/>
          <w:p>
            <w:pPr>
              <w:pStyle w:val="BodyText"/>
            </w:pPr>
            <w:r>
              <w:t xml:space="preserve">Business Unit</w:t>
            </w:r>
          </w:p>
        </w:tc>
        <w:tc>
          <w:tcPr/>
          <w:p>
            <w:pPr>
              <w:pStyle w:val="BodyText"/>
            </w:pPr>
            <w:r>
              <w:t xml:space="preserve">IT Asset Catalog</w:t>
            </w:r>
          </w:p>
          <w:p>
            <w:pPr>
              <w:pStyle w:val="BodyText"/>
            </w:pPr>
            <w:r>
              <w:t xml:space="preserve">Cyber Incident &amp; Breach Response</w:t>
            </w:r>
          </w:p>
        </w:tc>
        <w:tc>
          <w:tcPr/>
          <w:p>
            <w:pPr>
              <w:pStyle w:val="BodyText"/>
            </w:pPr>
            <w:r>
              <w:t xml:space="preserve">When you scope by Business Units into an audit entity, this allows the Data Feed Manager to populate the related risks and controls associated with the Business Unit record.</w:t>
            </w:r>
          </w:p>
        </w:tc>
      </w:tr>
      <w:tr>
        <w:tc>
          <w:tcPr/>
          <w:p>
            <w:pPr>
              <w:pStyle w:val="BodyText"/>
            </w:pPr>
            <w:r>
              <w:t xml:space="preserve">Applications</w:t>
            </w:r>
          </w:p>
        </w:tc>
        <w:tc>
          <w:tcPr/>
          <w:p>
            <w:pPr>
              <w:pStyle w:val="BodyText"/>
            </w:pPr>
            <w:r>
              <w:t xml:space="preserve">Audit Engagements &amp; Workpapers</w:t>
            </w:r>
          </w:p>
          <w:p>
            <w:pPr>
              <w:pStyle w:val="BodyText"/>
            </w:pPr>
            <w:r>
              <w:t xml:space="preserve">Business Continuity &amp; IT Disaster Recovery Planning</w:t>
            </w:r>
          </w:p>
          <w:p>
            <w:pPr>
              <w:pStyle w:val="BodyText"/>
            </w:pPr>
            <w:r>
              <w:t xml:space="preserve">Third Party Governance</w:t>
            </w:r>
          </w:p>
          <w:p>
            <w:pPr>
              <w:pStyle w:val="BodyText"/>
            </w:pPr>
            <w:r>
              <w:t xml:space="preserve">IT Asset Catalog</w:t>
            </w:r>
          </w:p>
          <w:p>
            <w:pPr>
              <w:pStyle w:val="BodyText"/>
            </w:pPr>
            <w:r>
              <w:t xml:space="preserve">IT Controls Assurance</w:t>
            </w:r>
          </w:p>
          <w:p>
            <w:pPr>
              <w:pStyle w:val="BodyText"/>
            </w:pPr>
            <w:r>
              <w:t xml:space="preserve">Information Security Management System</w:t>
            </w:r>
          </w:p>
          <w:p>
            <w:pPr>
              <w:pStyle w:val="BodyText"/>
            </w:pPr>
            <w:r>
              <w:t xml:space="preserve">PCI Management</w:t>
            </w:r>
          </w:p>
          <w:p>
            <w:pPr>
              <w:pStyle w:val="BodyText"/>
            </w:pPr>
            <w:r>
              <w:t xml:space="preserve">IT Security Vulnerabilities Program</w:t>
            </w:r>
          </w:p>
          <w:p>
            <w:pPr>
              <w:pStyle w:val="BodyText"/>
            </w:pPr>
            <w:r>
              <w:t xml:space="preserve">IT Risk Management</w:t>
            </w:r>
          </w:p>
          <w:p>
            <w:pPr>
              <w:pStyle w:val="BodyText"/>
            </w:pPr>
            <w:r>
              <w:t xml:space="preserve">Cyber Incident &amp; Breach Response</w:t>
            </w:r>
          </w:p>
          <w:p>
            <w:pPr>
              <w:pStyle w:val="BodyText"/>
            </w:pPr>
            <w:r>
              <w:t xml:space="preserve">Data Governance</w:t>
            </w:r>
          </w:p>
          <w:p>
            <w:pPr>
              <w:pStyle w:val="BodyText"/>
            </w:pPr>
            <w:r>
              <w:t xml:space="preserve">Operational Risk Management</w:t>
            </w:r>
          </w:p>
        </w:tc>
        <w:tc>
          <w:tcPr/>
          <w:p>
            <w:pPr>
              <w:pStyle w:val="BodyText"/>
            </w:pPr>
            <w:r>
              <w:t xml:space="preserve">When you scope by Applications as an audit entity, this allows the Data Feed Manager to populate the related risks and controls associated with the Application record.</w:t>
            </w:r>
          </w:p>
        </w:tc>
      </w:tr>
      <w:tr>
        <w:tc>
          <w:tcPr/>
          <w:p>
            <w:pPr>
              <w:pStyle w:val="BodyText"/>
            </w:pPr>
            <w:r>
              <w:t xml:space="preserve">Facilities</w:t>
            </w:r>
          </w:p>
        </w:tc>
        <w:tc>
          <w:tcPr/>
          <w:p>
            <w:pPr>
              <w:pStyle w:val="BodyText"/>
            </w:pPr>
            <w:r>
              <w:t xml:space="preserve">Audit Engagements &amp; Workpapers</w:t>
            </w:r>
          </w:p>
          <w:p>
            <w:pPr>
              <w:pStyle w:val="BodyText"/>
            </w:pPr>
            <w:r>
              <w:t xml:space="preserve">Business Continuity &amp; IT Disaster Recovery Planning</w:t>
            </w:r>
          </w:p>
          <w:p>
            <w:pPr>
              <w:pStyle w:val="BodyText"/>
            </w:pPr>
            <w:r>
              <w:t xml:space="preserve">IT Controls Assurance</w:t>
            </w:r>
          </w:p>
          <w:p>
            <w:pPr>
              <w:pStyle w:val="BodyText"/>
            </w:pPr>
            <w:r>
              <w:t xml:space="preserve">Information Security Management System</w:t>
            </w:r>
          </w:p>
          <w:p>
            <w:pPr>
              <w:pStyle w:val="BodyText"/>
            </w:pPr>
            <w:r>
              <w:t xml:space="preserve">PCI Management</w:t>
            </w:r>
          </w:p>
          <w:p>
            <w:pPr>
              <w:pStyle w:val="BodyText"/>
            </w:pPr>
            <w:r>
              <w:t xml:space="preserve">IT Risk Management</w:t>
            </w:r>
          </w:p>
          <w:p>
            <w:pPr>
              <w:pStyle w:val="BodyText"/>
            </w:pPr>
            <w:r>
              <w:t xml:space="preserve">Cyber Incident &amp; Breach Response</w:t>
            </w:r>
          </w:p>
        </w:tc>
        <w:tc>
          <w:tcPr/>
          <w:p>
            <w:pPr>
              <w:pStyle w:val="BodyText"/>
            </w:pPr>
            <w:r>
              <w:t xml:space="preserve">When you scope by Facilities as an audit entity, this allows the Data Feed Manager to populate the related risks and controls associated with the Facilities record.</w:t>
            </w:r>
          </w:p>
        </w:tc>
      </w:tr>
      <w:tr>
        <w:tc>
          <w:tcPr/>
          <w:p>
            <w:pPr>
              <w:pStyle w:val="BodyText"/>
            </w:pPr>
            <w:r>
              <w:t xml:space="preserve">Business Processes</w:t>
            </w:r>
          </w:p>
        </w:tc>
        <w:tc>
          <w:tcPr/>
          <w:p>
            <w:pPr>
              <w:pStyle w:val="BodyText"/>
            </w:pPr>
            <w:r>
              <w:t xml:space="preserve">Audit Engagements &amp; Workpapers</w:t>
            </w:r>
          </w:p>
          <w:p>
            <w:pPr>
              <w:pStyle w:val="BodyText"/>
            </w:pPr>
            <w:r>
              <w:t xml:space="preserve">IT Controls Assurance</w:t>
            </w:r>
          </w:p>
          <w:p>
            <w:pPr>
              <w:pStyle w:val="BodyText"/>
            </w:pPr>
            <w:r>
              <w:t xml:space="preserve">IT Risk Management</w:t>
            </w:r>
          </w:p>
          <w:p>
            <w:pPr>
              <w:pStyle w:val="BodyText"/>
            </w:pPr>
            <w:r>
              <w:t xml:space="preserve">Data Governance</w:t>
            </w:r>
          </w:p>
        </w:tc>
        <w:tc>
          <w:tcPr/>
          <w:p>
            <w:pPr>
              <w:pStyle w:val="BodyText"/>
            </w:pPr>
            <w:r>
              <w:t xml:space="preserve">When you scope by Business Processes as an audit entity, this allows the Data Feed Manager to populate the related risks and controls associated with the Business Process record.</w:t>
            </w:r>
          </w:p>
        </w:tc>
      </w:tr>
      <w:tr>
        <w:tc>
          <w:tcPr/>
          <w:p>
            <w:pPr>
              <w:pStyle w:val="BodyText"/>
            </w:pPr>
            <w:r>
              <w:t xml:space="preserve">Compliance Scope</w:t>
            </w:r>
          </w:p>
        </w:tc>
        <w:tc>
          <w:tcPr/>
          <w:p>
            <w:pPr>
              <w:pStyle w:val="BodyText"/>
            </w:pPr>
            <w:r>
              <w:t xml:space="preserve">Control Assurance Program Management</w:t>
            </w:r>
          </w:p>
        </w:tc>
        <w:tc>
          <w:tcPr/>
          <w:p>
            <w:pPr>
              <w:pStyle w:val="BodyText"/>
            </w:pPr>
            <w:r>
              <w:t xml:space="preserve">When you scope by Compliance Scope as an audit entity, this Allows the Data Feed Manager to populate the related risks and controls associated with the Compliance Scope record.</w:t>
            </w:r>
          </w:p>
        </w:tc>
      </w:tr>
    </w:tbl>
    <w:bookmarkEnd w:id="24"/>
    <w:bookmarkEnd w:id="25"/>
    <w:bookmarkStart w:id="29" w:name="Getstarted"/>
    <w:p>
      <w:pPr>
        <w:pStyle w:val="Heading2"/>
      </w:pPr>
      <w:r>
        <w:t xml:space="preserve">Get started</w:t>
      </w:r>
    </w:p>
    <w:p>
      <w:pPr>
        <w:pStyle w:val="Compact"/>
        <w:numPr>
          <w:ilvl w:val="0"/>
          <w:numId w:val="1006"/>
        </w:numPr>
      </w:pPr>
      <w:hyperlink r:id="rId26">
        <w:r>
          <w:rPr>
            <w:rStyle w:val="Hyperlink"/>
          </w:rPr>
          <w:t xml:space="preserve">Read about the use case design</w:t>
        </w:r>
      </w:hyperlink>
    </w:p>
    <w:p>
      <w:pPr>
        <w:pStyle w:val="Compact"/>
        <w:numPr>
          <w:ilvl w:val="0"/>
          <w:numId w:val="1006"/>
        </w:numPr>
      </w:pPr>
      <w:hyperlink r:id="rId27">
        <w:r>
          <w:rPr>
            <w:rStyle w:val="Hyperlink"/>
          </w:rPr>
          <w:t xml:space="preserve">Learn how the use case works</w:t>
        </w:r>
      </w:hyperlink>
    </w:p>
    <w:p>
      <w:pPr>
        <w:pStyle w:val="Compact"/>
        <w:numPr>
          <w:ilvl w:val="0"/>
          <w:numId w:val="1006"/>
        </w:numPr>
      </w:pPr>
      <w:hyperlink r:id="rId28">
        <w:r>
          <w:rPr>
            <w:rStyle w:val="Hyperlink"/>
          </w:rPr>
          <w:t xml:space="preserve">Install and set up the use case</w:t>
        </w:r>
      </w:hyperlink>
    </w:p>
    <w:p>
      <w:pPr>
        <w:pStyle w:val="Compact"/>
        <w:numPr>
          <w:ilvl w:val="0"/>
          <w:numId w:val="1006"/>
        </w:numPr>
      </w:pPr>
      <w:r>
        <w:t xml:space="preserve">What's new in this release</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udpln_design.htm" TargetMode="External" /><Relationship Type="http://schemas.openxmlformats.org/officeDocument/2006/relationships/hyperlink" Id="rId28" Target="audpln_install.htm" TargetMode="External" /><Relationship Type="http://schemas.openxmlformats.org/officeDocument/2006/relationships/hyperlink" Id="rId27" Target="audpln_using.htm" TargetMode="External" /><Relationship Type="http://schemas.openxmlformats.org/officeDocument/2006/relationships/hyperlink" Id="rId23" Target="https://help.archerirm.cloud/archer_suite_help/en-us/Content/PortalHome/SolutionsHome/sol_home.htm" TargetMode="External" /><Relationship Type="http://schemas.openxmlformats.org/officeDocument/2006/relationships/hyperlink" Id="rId20" Target="https://www.archerirm.community/t5/solution-use-case-overviews/archer-solutions-amp-use-cases/ba-p/572564" TargetMode="External" /></Relationships>
</file>

<file path=word/_rels/footnotes.xml.rels><?xml version="1.0" encoding="UTF-8"?><Relationships xmlns="http://schemas.openxmlformats.org/package/2006/relationships"><Relationship Type="http://schemas.openxmlformats.org/officeDocument/2006/relationships/hyperlink" Id="rId26" Target="audpln_design.htm" TargetMode="External" /><Relationship Type="http://schemas.openxmlformats.org/officeDocument/2006/relationships/hyperlink" Id="rId28" Target="audpln_install.htm" TargetMode="External" /><Relationship Type="http://schemas.openxmlformats.org/officeDocument/2006/relationships/hyperlink" Id="rId27" Target="audpln_using.htm" TargetMode="External" /><Relationship Type="http://schemas.openxmlformats.org/officeDocument/2006/relationships/hyperlink" Id="rId23" Target="https://help.archerirm.cloud/archer_suite_help/en-us/Content/PortalHome/SolutionsHome/sol_home.htm" TargetMode="External" /><Relationship Type="http://schemas.openxmlformats.org/officeDocument/2006/relationships/hyperlink" Id="rId20" Target="https://www.archerirm.community/t5/solution-use-case-overviews/archer-solutions-amp-use-cases/ba-p/572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2025-03-06T14:37:14Z</dcterms:created>
  <dcterms:modified xsi:type="dcterms:W3CDTF">2025-03-06T14:37:14Z</dcterms:modified>
</cp:coreProperties>
</file>

<file path=docProps/custom.xml><?xml version="1.0" encoding="utf-8"?>
<Properties xmlns="http://schemas.openxmlformats.org/officeDocument/2006/custom-properties" xmlns:vt="http://schemas.openxmlformats.org/officeDocument/2006/docPropsVTypes"/>
</file>