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X78bea2a9618e3522a2e7b6af04489e32d1c5180"/>
    <w:p>
      <w:pPr>
        <w:pStyle w:val="Heading1"/>
      </w:pPr>
      <w:bookmarkStart w:id="20" w:name="aanchor8"/>
      <w:bookmarkEnd w:id="20"/>
      <w:r>
        <w:t xml:space="preserve"> </w:t>
      </w:r>
      <w:r>
        <w:t xml:space="preserve">Defining Audit Entities and Evaluating Risk</w:t>
      </w:r>
    </w:p>
    <w:p>
      <w:pPr>
        <w:pStyle w:val="FirstParagraph"/>
      </w:pPr>
      <w:r>
        <w:t xml:space="preserve">The Audit Entity application provides a single, centralized location to capture details about each area that could be the subject of audit scrutiny, such as business processes, organizational units (such as a business unit or department), specific topics (a regulation, such as FFIEC), IT infrastructure and applications, or other individual or consolidated areas.</w:t>
      </w:r>
    </w:p>
    <w:p>
      <w:pPr>
        <w:pStyle w:val="BodyText"/>
      </w:pPr>
      <w:r>
        <w:t xml:space="preserve">Through the Audit Entity application, you can:</w:t>
      </w:r>
    </w:p>
    <w:p>
      <w:pPr>
        <w:pStyle w:val="Compact"/>
        <w:numPr>
          <w:ilvl w:val="0"/>
          <w:numId w:val="1001"/>
        </w:numPr>
      </w:pPr>
      <w:r>
        <w:t xml:space="preserve">Define each audit entity and create a "universe" of audit entities.</w:t>
      </w:r>
    </w:p>
    <w:p>
      <w:pPr>
        <w:pStyle w:val="Compact"/>
        <w:numPr>
          <w:ilvl w:val="0"/>
          <w:numId w:val="1001"/>
        </w:numPr>
      </w:pPr>
      <w:r>
        <w:t xml:space="preserve">Define each audit entity by relating the entity to cross-referenced records in other use cases.</w:t>
      </w:r>
    </w:p>
    <w:p>
      <w:pPr>
        <w:pStyle w:val="Compact"/>
        <w:numPr>
          <w:ilvl w:val="0"/>
          <w:numId w:val="1001"/>
        </w:numPr>
      </w:pPr>
      <w:r>
        <w:t xml:space="preserve">Assign audit and business ownership to each audit entity.</w:t>
      </w:r>
    </w:p>
    <w:p>
      <w:pPr>
        <w:pStyle w:val="Compact"/>
        <w:numPr>
          <w:ilvl w:val="0"/>
          <w:numId w:val="1001"/>
        </w:numPr>
      </w:pPr>
      <w:r>
        <w:t xml:space="preserve">Perform audit entity risk assessments.</w:t>
      </w:r>
    </w:p>
    <w:p>
      <w:pPr>
        <w:pStyle w:val="Compact"/>
        <w:numPr>
          <w:ilvl w:val="0"/>
          <w:numId w:val="1001"/>
        </w:numPr>
      </w:pPr>
      <w:r>
        <w:t xml:space="preserve">Compare the audit risk assessments to management assessments of risk.</w:t>
      </w:r>
    </w:p>
    <w:bookmarkStart w:id="22" w:name="next-steps"/>
    <w:p>
      <w:pPr>
        <w:pStyle w:val="Heading2"/>
      </w:pPr>
      <w:r>
        <w:t xml:space="preserve">Next steps</w:t>
      </w:r>
    </w:p>
    <w:p>
      <w:pPr>
        <w:pStyle w:val="FirstParagraph"/>
      </w:pPr>
      <w:hyperlink r:id="rId21">
        <w:r>
          <w:rPr>
            <w:rStyle w:val="Hyperlink"/>
          </w:rPr>
          <w:t xml:space="preserve">Create the Audit Plan</w:t>
        </w:r>
      </w:hyperlink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udpln_plan_crea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udpln_plan_crea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2025-03-06T14:37:26Z</dcterms:created>
  <dcterms:modified xsi:type="dcterms:W3CDTF">2025-03-06T14:37:26Z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