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archer-risk-catalog-6.7"/>
    <w:p>
      <w:pPr>
        <w:pStyle w:val="Heading1"/>
      </w:pPr>
      <w:bookmarkStart w:id="20" w:name="aanchor1"/>
      <w:bookmarkEnd w:id="20"/>
      <w:r>
        <w:t xml:space="preserve"> </w:t>
      </w:r>
      <w:r>
        <w:t xml:space="preserve">Archer</w:t>
      </w:r>
      <w:r>
        <w:t xml:space="preserve"> </w:t>
      </w:r>
      <w:r>
        <w:t xml:space="preserve">Risk Catalog 6.7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Risk Catalog permite registrar e rastrear os riscos em toda a empresa, além de estabelecer a responsabilidade para os gerentes nomeados de primeira e segunda linha de defesa.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Benef%C3%ADciosdeusaroRiskCatalog">
        <w:r>
          <w:rPr>
            <w:rStyle w:val="Hyperlink"/>
          </w:rPr>
          <w:t xml:space="preserve">Benefícios de usar o Risk Catalog</w:t>
        </w:r>
      </w:hyperlink>
    </w:p>
    <w:p>
      <w:pPr>
        <w:pStyle w:val="Compact"/>
        <w:numPr>
          <w:ilvl w:val="0"/>
          <w:numId w:val="1001"/>
        </w:numPr>
      </w:pPr>
      <w:hyperlink w:anchor="X170c84199a26e76356d04dcc7d691889ac3760f">
        <w:r>
          <w:rPr>
            <w:rStyle w:val="Hyperlink"/>
          </w:rPr>
          <w:t xml:space="preserve">Como o Risk Catalog se enquadra em um Programa de risco e conformidade Archer</w:t>
        </w:r>
      </w:hyperlink>
    </w:p>
    <w:p>
      <w:pPr>
        <w:pStyle w:val="Compact"/>
        <w:numPr>
          <w:ilvl w:val="0"/>
          <w:numId w:val="1001"/>
        </w:numPr>
      </w:pPr>
      <w:hyperlink w:anchor="Introdu%C3%A7%C3%A3o">
        <w:r>
          <w:rPr>
            <w:rStyle w:val="Hyperlink"/>
          </w:rPr>
          <w:t xml:space="preserve">Introdução</w:t>
        </w:r>
      </w:hyperlink>
    </w:p>
    <w:bookmarkStart w:id="21" w:name="BenefíciosdeusaroRiskCatalog"/>
    <w:p>
      <w:pPr>
        <w:pStyle w:val="Heading2"/>
      </w:pPr>
      <w:r>
        <w:t xml:space="preserve">Benefícios de usar o Risk Catalog</w:t>
      </w:r>
    </w:p>
    <w:p>
      <w:pPr>
        <w:pStyle w:val="FirstParagraph"/>
      </w:pPr>
      <w:r>
        <w:t xml:space="preserve">O Risk Catalog oferece uma agregação de 3 níveis de risco, desde um nível granular até as declarações de risco empresarial. O risco inerente e residual pode ser avaliado com uma abordagem qualitativa decrescente, com os valores avaliados acumulando-se até as declarações de risco intermediário e empresarial.</w:t>
      </w:r>
    </w:p>
    <w:bookmarkEnd w:id="21"/>
    <w:bookmarkStart w:id="23" w:name="X170c84199a26e76356d04dcc7d691889ac3760f"/>
    <w:p>
      <w:pPr>
        <w:pStyle w:val="Heading2"/>
      </w:pPr>
      <w:r>
        <w:t xml:space="preserve">Como o Risk Catalog se enquadra em um Programa de risco e conformidade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Archer</w:t>
      </w:r>
      <w:r>
        <w:t xml:space="preserve"> </w:t>
      </w:r>
      <w:r>
        <w:t xml:space="preserve">O Risk Catalog é um caso de uso na área de solução de Gerenciamento do risco operacional e empresarial do Archer.</w:t>
      </w:r>
    </w:p>
    <w:p>
      <w:pPr>
        <w:pStyle w:val="BodyText"/>
      </w:pPr>
      <w:r>
        <w:t xml:space="preserve">Para obter os principais recursos e benefícios deste caso de uso, consulte o Data sheet na</w:t>
      </w:r>
      <w:r>
        <w:t xml:space="preserve"> </w:t>
      </w:r>
      <w:r>
        <w:t xml:space="preserve">Archer Community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https://www.archerirm.community/t5/solution-use-case-overviews/archer-solutions-amp-use-cases/ba-p/572564</w:t>
        </w:r>
      </w:hyperlink>
    </w:p>
    <w:bookmarkEnd w:id="23"/>
    <w:bookmarkStart w:id="26" w:name="Introdução"/>
    <w:p>
      <w:pPr>
        <w:pStyle w:val="Heading2"/>
      </w:pPr>
      <w:r>
        <w:t xml:space="preserve">Introdução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Saiba mais sobre o projeto de casos de uso</w:t>
        </w:r>
      </w:hyperlink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Instalar e configurar o caso de uso</w:t>
        </w:r>
      </w:hyperlink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eorm_rcat_design.htm" TargetMode="External" /><Relationship Type="http://schemas.openxmlformats.org/officeDocument/2006/relationships/hyperlink" Id="rId25" Target="eorm_rcat_install.htm" TargetMode="External" /><Relationship Type="http://schemas.openxmlformats.org/officeDocument/2006/relationships/hyperlink" Id="rId22" Target="https://www.archerirm.community/t5/solution-use-case-overviews/archer-solutions-amp-use-cases/ba-p/57256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eorm_rcat_design.htm" TargetMode="External" /><Relationship Type="http://schemas.openxmlformats.org/officeDocument/2006/relationships/hyperlink" Id="rId25" Target="eorm_rcat_install.htm" TargetMode="External" /><Relationship Type="http://schemas.openxmlformats.org/officeDocument/2006/relationships/hyperlink" Id="rId22" Target="https://www.archerirm.community/t5/solution-use-case-overviews/archer-solutions-amp-use-cases/ba-p/5725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2025-03-06T14:38:24Z</dcterms:created>
  <dcterms:modified xsi:type="dcterms:W3CDTF">2025-03-06T14:38:24Z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