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design-de-caso-de-uso-do-risk-catalog-1"/>
    <w:p>
      <w:pPr>
        <w:pStyle w:val="Heading1"/>
      </w:pPr>
      <w:bookmarkStart w:id="20" w:name="aanchor3"/>
      <w:bookmarkEnd w:id="20"/>
      <w:r>
        <w:t xml:space="preserve"> </w:t>
      </w:r>
      <w:r>
        <w:t xml:space="preserve">Design de caso de uso do Risk Catalog</w:t>
      </w:r>
    </w:p>
    <w:p>
      <w:pPr>
        <w:pStyle w:val="FirstParagraph"/>
      </w:pPr>
      <w:r>
        <w:t xml:space="preserve">Este tópico explica o design de caso de uso do Risk Catalog.</w:t>
      </w:r>
    </w:p>
    <w:p>
      <w:pPr>
        <w:pStyle w:val="BodyText"/>
      </w:pPr>
      <w:r>
        <w:t xml:space="preserve">Nesta página</w:t>
      </w:r>
    </w:p>
    <w:p>
      <w:pPr>
        <w:pStyle w:val="Compact"/>
        <w:numPr>
          <w:ilvl w:val="0"/>
          <w:numId w:val="1001"/>
        </w:numPr>
      </w:pPr>
      <w:hyperlink w:anchor="Diagramasdearquitetura">
        <w:r>
          <w:rPr>
            <w:rStyle w:val="Hyperlink"/>
          </w:rPr>
          <w:t xml:space="preserve">Diagramas de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Fun%C3%A7%C3%B5esdeacesso">
        <w:r>
          <w:rPr>
            <w:rStyle w:val="Hyperlink"/>
          </w:rPr>
          <w:t xml:space="preserve">Funções de acesso</w:t>
        </w:r>
      </w:hyperlink>
    </w:p>
    <w:p>
      <w:pPr>
        <w:pStyle w:val="Compact"/>
        <w:numPr>
          <w:ilvl w:val="0"/>
          <w:numId w:val="1001"/>
        </w:numPr>
      </w:pPr>
      <w:hyperlink w:anchor="Pain%C3%A9isdecontrole">
        <w:r>
          <w:rPr>
            <w:rStyle w:val="Hyperlink"/>
          </w:rPr>
          <w:t xml:space="preserve">Painéis de controle</w:t>
        </w:r>
      </w:hyperlink>
    </w:p>
    <w:bookmarkStart w:id="25" w:name="Diagramasdearquitetura"/>
    <w:p>
      <w:pPr>
        <w:pStyle w:val="Heading2"/>
      </w:pPr>
      <w:r>
        <w:t xml:space="preserve">Diagramas de arquitetura</w:t>
      </w:r>
    </w:p>
    <w:p>
      <w:pPr>
        <w:pStyle w:val="FirstParagraph"/>
      </w:pPr>
      <w:r>
        <w:t xml:space="preserve">O diagrama a seguir mostra as relações entre os aplicativos no caso de uso Catálogo de riscos.</w:t>
      </w:r>
    </w:p>
    <w:p>
      <w:pPr>
        <w:pStyle w:val="BodyText"/>
      </w:pPr>
      <w:r>
        <w:t xml:space="preserve">Faça download do arquivo de origem do diagrama aqui:</w:t>
      </w:r>
      <w:r>
        <w:t xml:space="preserve"> </w:t>
      </w:r>
      <w:hyperlink r:id="rId21">
        <w:r>
          <w:rPr>
            <w:rStyle w:val="Hyperlink"/>
          </w:rPr>
          <w:t xml:space="preserve">Diagrama da arquitetura do Risk Catalog</w:t>
        </w:r>
      </w:hyperlink>
    </w:p>
    <w:p>
      <w:pPr>
        <w:pStyle w:val="BodyText"/>
      </w:pPr>
      <w:r>
        <w:drawing>
          <wp:inline>
            <wp:extent cx="5334000" cy="7736669"/>
            <wp:effectExtent b="0" l="0" r="0" t="0"/>
            <wp:docPr descr="Arquitetura do caso de uso do Risk Catalog" title="Arquitetura do caso de uso do Risk Catalog" id="23" name="Picture"/>
            <a:graphic>
              <a:graphicData uri="http://schemas.openxmlformats.org/drawingml/2006/picture">
                <pic:pic>
                  <pic:nvPicPr>
                    <pic:cNvPr descr="C:/Users/samue/WebScrapper/HelpArcher-to-pdf/images/e5dbe3cb2232f163cbef471892fc6ecb.png" id="24" name="Picture"/>
                    <pic:cNvPicPr>
                      <a:picLocks noChangeArrowheads="1" noChangeAspect="1"/>
                    </pic:cNvPicPr>
                  </pic:nvPicPr>
                  <pic:blipFill>
                    <a:blip r:embed="rId22"/>
                    <a:stretch>
                      <a:fillRect/>
                    </a:stretch>
                  </pic:blipFill>
                  <pic:spPr bwMode="auto">
                    <a:xfrm>
                      <a:off x="0" y="0"/>
                      <a:ext cx="5334000" cy="7736669"/>
                    </a:xfrm>
                    <a:prstGeom prst="rect">
                      <a:avLst/>
                    </a:prstGeom>
                    <a:noFill/>
                    <a:ln w="9525">
                      <a:noFill/>
                      <a:headEnd/>
                      <a:tailEnd/>
                    </a:ln>
                  </pic:spPr>
                </pic:pic>
              </a:graphicData>
            </a:graphic>
          </wp:inline>
        </w:drawing>
      </w:r>
    </w:p>
    <w:p>
      <w:pPr>
        <w:pStyle w:val="BodyText"/>
      </w:pPr>
      <w:r>
        <w:rPr>
          <w:b/>
          <w:bCs/>
        </w:rPr>
        <w:t xml:space="preserve">Observação:</w:t>
      </w:r>
      <w:r>
        <w:t xml:space="preserve"> </w:t>
      </w:r>
      <w:r>
        <w:t xml:space="preserve">Feeds que criam medidas de uma biblioteca de medidas (seja processo de negócios ou riscos) não criam registros de declaração de riscos associados aos registros de declaração de riscos. Os objetos do catálogo de ativos de negócios e suas avaliações associadas não entram automaticamente no escopo do projeto de risco e devem ter o escopo atribuído manualmente.</w:t>
      </w:r>
    </w:p>
    <w:bookmarkEnd w:id="25"/>
    <w:bookmarkStart w:id="26"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Hierarquia de riscos</w:t>
            </w:r>
          </w:p>
        </w:tc>
        <w:tc>
          <w:tcPr/>
          <w:p>
            <w:pPr>
              <w:pStyle w:val="BodyText"/>
            </w:pPr>
            <w:r>
              <w:t xml:space="preserve">Hierarquia de riscos é um aplicativo em 2 níveis que contém declarações de risco nos níveis intermediário e corporativo. Em muitas organizações, as declarações de risco em nível corporativo são aquelas relatadas em arquivos públicos, como 10-Ks e 10-Qs, submetidos à Comissão de Valores Mobiliários.</w:t>
            </w:r>
          </w:p>
          <w:p>
            <w:pPr>
              <w:pStyle w:val="BodyText"/>
            </w:pPr>
            <w:r>
              <w:t xml:space="preserve">No aplicativo Hierarquia de riscos, as declarações de risco em nível corporativo podem estar vinculadas a declarações de risco de nível intermediário, e as declarações de risco de nível intermediário podem conter referências cruzadas a registros do aplicativo Riscos. Isso permite um acúmulo de riscos em 3 níveis, desde o nível de riscos mais granular até o nível corporativo mais resumido, além de permitir que um gerenciador de riscos percorra o risco da organização de cima para baixo e de baixo para cima.</w:t>
            </w:r>
          </w:p>
          <w:p>
            <w:pPr>
              <w:pStyle w:val="BodyText"/>
            </w:pPr>
            <w:r>
              <w:t xml:space="preserve">Com o aplicativo Hierarquia de riscos, é possível:</w:t>
            </w:r>
          </w:p>
          <w:p>
            <w:pPr>
              <w:pStyle w:val="Compact"/>
              <w:numPr>
                <w:ilvl w:val="0"/>
                <w:numId w:val="1002"/>
              </w:numPr>
            </w:pPr>
            <w:r>
              <w:t xml:space="preserve">Oferecer garantia positiva sobre declarações de risco publicadas.</w:t>
            </w:r>
          </w:p>
          <w:p>
            <w:pPr>
              <w:pStyle w:val="Compact"/>
              <w:numPr>
                <w:ilvl w:val="0"/>
                <w:numId w:val="1002"/>
              </w:numPr>
            </w:pPr>
            <w:r>
              <w:t xml:space="preserve">Compreender com mais facilidade o alcance e a quantidade de riscos, os causadores de riscos e a estrutura de controle associada.</w:t>
            </w:r>
          </w:p>
          <w:p>
            <w:pPr>
              <w:pStyle w:val="Compact"/>
              <w:numPr>
                <w:ilvl w:val="0"/>
                <w:numId w:val="1002"/>
              </w:numPr>
            </w:pPr>
            <w:r>
              <w:t xml:space="preserve">Monitorar e gerenciar riscos com base nas tolerâncias de risco estabelecidas.</w:t>
            </w:r>
          </w:p>
        </w:tc>
      </w:tr>
      <w:tr>
        <w:tc>
          <w:tcPr/>
          <w:p>
            <w:pPr>
              <w:pStyle w:val="FirstParagraph"/>
            </w:pPr>
            <w:r>
              <w:t xml:space="preserve">Riscos (anteriormente Registro de riscos)</w:t>
            </w:r>
          </w:p>
        </w:tc>
        <w:tc>
          <w:tcPr/>
          <w:p>
            <w:pPr>
              <w:pStyle w:val="BodyText"/>
            </w:pPr>
            <w:r>
              <w:t xml:space="preserve">O aplicativo Riscos serve como uma instanciação corporativa controlada de riscos usada por toda a organização. Ele permite que os usuários capturem dados para uma instância de risco de qualquer declaração de risco. Os riscos estão associados a processos, objetivos, aplicações, instalações, principais indicadores de risco, perdas financeiras e controles. Os riscos quantitativos servem como ponto de agregação para eventos de risco subjacentes e são atribuídos separadamente a hierarquias quantitativas para agregação.</w:t>
            </w:r>
          </w:p>
        </w:tc>
      </w:tr>
    </w:tbl>
    <w:bookmarkEnd w:id="26"/>
    <w:bookmarkStart w:id="27" w:name="Funçõesdeacesso"/>
    <w:p>
      <w:pPr>
        <w:pStyle w:val="Heading2"/>
      </w:pPr>
      <w:r>
        <w:t xml:space="preserve">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RM: Administrador</w:t>
            </w:r>
          </w:p>
        </w:tc>
        <w:tc>
          <w:tcPr/>
          <w:p>
            <w:pPr>
              <w:pStyle w:val="BodyText"/>
            </w:pPr>
            <w:r>
              <w:t xml:space="preserve">Esta função serve como o administrador do caso de uso. (Gerente de riscos, gerente de riscos especialista)</w:t>
            </w:r>
          </w:p>
        </w:tc>
      </w:tr>
      <w:tr>
        <w:tc>
          <w:tcPr/>
          <w:p>
            <w:pPr>
              <w:pStyle w:val="BodyText"/>
            </w:pPr>
            <w:r>
              <w:t xml:space="preserve">RM: Executivos</w:t>
            </w:r>
          </w:p>
        </w:tc>
        <w:tc>
          <w:tcPr/>
          <w:p>
            <w:pPr>
              <w:pStyle w:val="BodyText"/>
            </w:pPr>
            <w:r>
              <w:t xml:space="preserve">Esta função fornece os níveis de acesso adequados no caso de uso à equipe executiva (CFO, CEO, controlador).</w:t>
            </w:r>
          </w:p>
        </w:tc>
      </w:tr>
      <w:tr>
        <w:tc>
          <w:tcPr/>
          <w:p>
            <w:pPr>
              <w:pStyle w:val="BodyText"/>
            </w:pPr>
            <w:r>
              <w:t xml:space="preserve">RM: Gerente</w:t>
            </w:r>
          </w:p>
        </w:tc>
        <w:tc>
          <w:tcPr/>
          <w:p>
            <w:pPr>
              <w:pStyle w:val="BodyText"/>
            </w:pPr>
            <w:r>
              <w:t xml:space="preserve">Esta função fornece à gerência acesso para criação, leitura e atualização no caso de uso.</w:t>
            </w:r>
          </w:p>
        </w:tc>
      </w:tr>
      <w:tr>
        <w:tc>
          <w:tcPr/>
          <w:p>
            <w:pPr>
              <w:pStyle w:val="BodyText"/>
            </w:pPr>
            <w:r>
              <w:t xml:space="preserve">RM: Responsável</w:t>
            </w:r>
          </w:p>
        </w:tc>
        <w:tc>
          <w:tcPr/>
          <w:p>
            <w:pPr>
              <w:pStyle w:val="BodyText"/>
            </w:pPr>
            <w:r>
              <w:t xml:space="preserve">Esta função fornece aos responsáveis pelos processos de negócios acesso para criação, leitura e atualização no caso de uso.</w:t>
            </w:r>
          </w:p>
        </w:tc>
      </w:tr>
      <w:tr>
        <w:tc>
          <w:tcPr/>
          <w:p>
            <w:pPr>
              <w:pStyle w:val="BodyText"/>
            </w:pPr>
            <w:r>
              <w:t xml:space="preserve">RM: Somente leitura</w:t>
            </w:r>
          </w:p>
        </w:tc>
        <w:tc>
          <w:tcPr/>
          <w:p>
            <w:pPr>
              <w:pStyle w:val="BodyText"/>
            </w:pPr>
            <w:r>
              <w:t xml:space="preserve">Esta função fornece acesso somente leitura para o caso de uso.</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bookmarkEnd w:id="27"/>
    <w:bookmarkStart w:id="28"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Gerenciamento executivo</w:t>
            </w:r>
          </w:p>
        </w:tc>
        <w:tc>
          <w:tcPr/>
          <w:p>
            <w:pPr>
              <w:pStyle w:val="BodyText"/>
            </w:pPr>
            <w:r>
              <w:t xml:space="preserve">Esse painel de controle baseado em persona é usado por controladores, CFOs e CEOs para visualizar riscos da empresa/unidade de negócios, rastrear a exposição a riscos analisar os eventos de perda que exigem aprovação executiva.</w:t>
            </w:r>
          </w:p>
        </w:tc>
      </w:tr>
      <w:tr>
        <w:tc>
          <w:tcPr/>
          <w:p>
            <w:pPr>
              <w:pStyle w:val="BodyText"/>
            </w:pPr>
            <w:r>
              <w:t xml:space="preserve">Gerente de unidade de negócios</w:t>
            </w:r>
          </w:p>
        </w:tc>
        <w:tc>
          <w:tcPr/>
          <w:p>
            <w:pPr>
              <w:pStyle w:val="BodyText"/>
            </w:pPr>
            <w:r>
              <w:t xml:space="preserve">Esse painel de controle baseado em persona é usado por gerentes da unidade de negócios e os coordenadores da unidade de negócios para criar novos eventos de perda e exibir avaliações ativas, eventos de perda não aprovados e eventos de perda que exigem análise ou aprovação executiva.</w:t>
            </w:r>
          </w:p>
        </w:tc>
      </w:tr>
      <w:tr>
        <w:tc>
          <w:tcPr/>
          <w:p>
            <w:pPr>
              <w:pStyle w:val="BodyText"/>
            </w:pPr>
            <w:r>
              <w:t xml:space="preserve">Gerente de riscos</w:t>
            </w:r>
          </w:p>
        </w:tc>
        <w:tc>
          <w:tcPr/>
          <w:p>
            <w:pPr>
              <w:pStyle w:val="BodyText"/>
            </w:pPr>
            <w:r>
              <w:t xml:space="preserve">Esse painel de controle baseado em persona é usado pelos gerentes de riscos e especialistas em riscos para exibir avaliações ativas, eventos de perda aguardando revisão e projetos de risco abertos.</w:t>
            </w:r>
          </w:p>
        </w:tc>
      </w:tr>
      <w:tr>
        <w:tc>
          <w:tcPr/>
          <w:p>
            <w:pPr>
              <w:pStyle w:val="BodyText"/>
            </w:pPr>
            <w:r>
              <w:t xml:space="preserve">Hierarquia do processo de negócios</w:t>
            </w:r>
          </w:p>
        </w:tc>
        <w:tc>
          <w:tcPr/>
          <w:p>
            <w:pPr>
              <w:pStyle w:val="BodyText"/>
            </w:pPr>
            <w:r>
              <w:t xml:space="preserve">Retorna a hierarquia de processo de negócios inteira, incluindo riscos vinculados diretamente a qualquer nível da hierarquia do processo. O relatório mostra todos os procedimentos de controle de mitigação para esses riscos, bem como todos os resultados apresentados em relação a um procedimento de controle.</w:t>
            </w:r>
          </w:p>
        </w:tc>
      </w:tr>
    </w:tbl>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EntOpRisk/eorm_rcat_architecture.vsd"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EntOpRisk/eorm_rcat_architecture.v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2025-03-06T14:38:30Z</dcterms:created>
  <dcterms:modified xsi:type="dcterms:W3CDTF">2025-03-06T14:38:30Z</dcterms:modified>
</cp:coreProperties>
</file>

<file path=docProps/custom.xml><?xml version="1.0" encoding="utf-8"?>
<Properties xmlns="http://schemas.openxmlformats.org/officeDocument/2006/custom-properties" xmlns:vt="http://schemas.openxmlformats.org/officeDocument/2006/docPropsVTypes"/>
</file>