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-main-content"/>
    <w:bookmarkStart w:id="30" w:name="Xc035fcce95defd91154255278a88bfa686cc3b6"/>
    <w:p>
      <w:pPr>
        <w:pStyle w:val="Heading1"/>
      </w:pPr>
      <w:bookmarkStart w:id="20" w:name="aanchor3"/>
      <w:bookmarkEnd w:id="20"/>
      <w:r>
        <w:t xml:space="preserve"> </w:t>
      </w:r>
      <w:r>
        <w:t xml:space="preserve">Archer</w:t>
      </w:r>
      <w:r>
        <w:t xml:space="preserve"> </w:t>
      </w:r>
      <w:r>
        <w:t xml:space="preserve">Enterprise Risk Management 2024.06</w:t>
      </w:r>
    </w:p>
    <w:p>
      <w:pPr>
        <w:pStyle w:val="FirstParagraph"/>
      </w:pPr>
      <w:r>
        <w:t xml:space="preserve">Archer</w:t>
      </w:r>
      <w:r>
        <w:t xml:space="preserve"> </w:t>
      </w:r>
      <w:r>
        <w:t xml:space="preserve">O Enterprise Risk Management permite documentar riscos e controles em toda a organização.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2aaff4d7f82027539c818ab9fec2918aabc0a46">
        <w:r>
          <w:rPr>
            <w:rStyle w:val="Hyperlink"/>
          </w:rPr>
          <w:t xml:space="preserve">Benefícios de usar o Enterprise Risk Management</w:t>
        </w:r>
      </w:hyperlink>
    </w:p>
    <w:p>
      <w:pPr>
        <w:pStyle w:val="Compact"/>
        <w:numPr>
          <w:ilvl w:val="0"/>
          <w:numId w:val="1001"/>
        </w:numPr>
      </w:pPr>
      <w:hyperlink w:anchor="X986a9506300fd30bae7c4c0cb8fc837ad7d9a83">
        <w:r>
          <w:rPr>
            <w:rStyle w:val="Hyperlink"/>
          </w:rPr>
          <w:t xml:space="preserve">Como o Enterprise Risk Management se enquadra em um programa de risco e conformidade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hyperlink w:anchor="Casosdeusodepr%C3%A9requisitoeseguintes">
        <w:r>
          <w:rPr>
            <w:rStyle w:val="Hyperlink"/>
          </w:rPr>
          <w:t xml:space="preserve">Casos de uso de pré-requisito e seguintes</w:t>
        </w:r>
      </w:hyperlink>
    </w:p>
    <w:p>
      <w:pPr>
        <w:pStyle w:val="Compact"/>
        <w:numPr>
          <w:ilvl w:val="0"/>
          <w:numId w:val="1001"/>
        </w:numPr>
      </w:pPr>
      <w:hyperlink w:anchor="Introdu%C3%A7%C3%A3o">
        <w:r>
          <w:rPr>
            <w:rStyle w:val="Hyperlink"/>
          </w:rPr>
          <w:t xml:space="preserve">Introdução</w:t>
        </w:r>
      </w:hyperlink>
    </w:p>
    <w:bookmarkStart w:id="22" w:name="Xf18d4d4814f11666e54c3509778afadff7db96d"/>
    <w:p>
      <w:pPr>
        <w:pStyle w:val="Heading2"/>
      </w:pPr>
      <w:r>
        <w:t xml:space="preserve">Benefícios de usar o Enterprise Risk Management</w:t>
      </w:r>
    </w:p>
    <w:p>
      <w:pPr>
        <w:pStyle w:val="FirstParagraph"/>
      </w:pPr>
      <w:r>
        <w:t xml:space="preserve">Os riscos podem ser avaliados de modo inerente e residual, tanto qualitativamente quanto em várias categorias de risco, usando os valores monetários. Os controles podem ser vinculados aos riscos tratados para a consideração, como parte de uma avaliação de riscos residual. Os riscos e controles podem ser atribuídos a indivíduos nomeados e à estrutura organizacional para estabelecer a responsabilidade adequada e gerar relatórios relevantes.</w:t>
      </w:r>
    </w:p>
    <w:p>
      <w:pPr>
        <w:pStyle w:val="BodyText"/>
      </w:pPr>
      <w:r>
        <w:t xml:space="preserve">Para obter os principais recursos e benefícios deste caso de uso, consulte o Data sheet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https://www.archerirm.community/t5/solution-use-case-overviews/archer-solutions-amp-use-cases/ba-p/572564</w:t>
        </w:r>
      </w:hyperlink>
    </w:p>
    <w:bookmarkEnd w:id="22"/>
    <w:bookmarkStart w:id="25" w:name="X986a9506300fd30bae7c4c0cb8fc837ad7d9a83"/>
    <w:p>
      <w:pPr>
        <w:pStyle w:val="Heading2"/>
      </w:pPr>
      <w:r>
        <w:t xml:space="preserve">Como o Enterprise Risk Management se enquadra em um programa de risco e conformidade</w:t>
      </w:r>
    </w:p>
    <w:p>
      <w:pPr>
        <w:pStyle w:val="FirstParagraph"/>
      </w:pPr>
      <w:r>
        <w:t xml:space="preserve">Archer</w:t>
      </w:r>
      <w:r>
        <w:t xml:space="preserve"> </w:t>
      </w:r>
      <w:r>
        <w:t xml:space="preserve">O Enterprise Risk Management é um caso de uso na área de solução de Gerenciamento do risco operacional e empresarial do</w:t>
      </w:r>
      <w:r>
        <w:t xml:space="preserve"> </w:t>
      </w:r>
      <w:r>
        <w:t xml:space="preserve">Archer</w:t>
      </w:r>
      <w:r>
        <w:t xml:space="preserve">. As seções a seguir descrevem os casos de uso exigidos pelo Enterprise Risk Management como pré-requisitos. Eles podem passar por upgrade, quando seu programa amadurecer, e podem ser integrados a outras áreas de soluções para a obtenção de outros contextos e funcionalidades de negócios.</w:t>
      </w:r>
    </w:p>
    <w:bookmarkStart w:id="24" w:name="Casosdeusodeprérequisitoeseguintes"/>
    <w:p>
      <w:pPr>
        <w:pStyle w:val="Heading3"/>
      </w:pPr>
      <w:r>
        <w:t xml:space="preserve">Casos de uso de pré-requisito e seguintes</w:t>
      </w:r>
    </w:p>
    <w:p>
      <w:pPr>
        <w:pStyle w:val="TableCaption"/>
      </w:pPr>
      <w:r>
        <w:t xml:space="preserve">A tabela a seguir mostra como este caso de uso se enquadra na área de solução geral Gerenciamento do risco operacional e empresarial.</w:t>
      </w:r>
    </w:p>
    <w:p>
      <w:pPr>
        <w:pStyle w:val="TableCaption"/>
      </w:pPr>
      <w:r>
        <w:t xml:space="preserve">Para obter informações sobre estes casos de uso do</w:t>
      </w:r>
      <w:r>
        <w:t xml:space="preserve"> </w:t>
      </w:r>
      <w:r>
        <w:t xml:space="preserve">Archer</w:t>
      </w:r>
      <w:r>
        <w:t xml:space="preserve">, consulte a</w:t>
      </w:r>
      <w:r>
        <w:t xml:space="preserve"> </w:t>
      </w:r>
      <w:hyperlink r:id="rId23">
        <w:r>
          <w:rPr>
            <w:rStyle w:val="Hyperlink"/>
          </w:rPr>
          <w:t xml:space="preserve">Ajuda das soluções Archer.</w:t>
        </w:r>
      </w:hyperlink>
    </w:p>
    <w:tbl>
      <w:tblPr>
        <w:tblStyle w:val="Table"/>
        <w:tblW w:type="pct" w:w="4950"/>
        <w:tblLayout w:type="fixed"/>
        <w:tblLook w:firstRow="1" w:lastRow="0" w:firstColumn="0" w:lastColumn="0" w:noHBand="0" w:noVBand="0" w:val="0020"/>
        <w:tblCaption w:val="A tabela a seguir mostra como este caso de uso se enquadra na área de solução geral Gerenciamento do risco operacional e empresarial.Para obter informações sobre estes casos de uso do Archer, consulte a Ajuda das soluções Archer."/>
      </w:tblPr>
      <w:tblGrid>
        <w:gridCol w:w="2613"/>
        <w:gridCol w:w="2613"/>
        <w:gridCol w:w="2613"/>
      </w:tblGrid>
      <w:tr>
        <w:trPr>
          <w:tblHeader w:val="on"/>
        </w:trPr>
        <w:tc>
          <w:tcPr/>
          <w:p>
            <w:pPr>
              <w:jc w:val="center"/>
            </w:pPr>
            <w:r>
              <w:t xml:space="preserve">Pré-requisitos</w:t>
            </w:r>
          </w:p>
        </w:tc>
        <w:tc>
          <w:tcPr/>
          <w:p>
            <w:pPr>
              <w:jc w:val="center"/>
            </w:pPr>
            <w:r>
              <w:t xml:space="preserve">O que você tem</w:t>
            </w:r>
          </w:p>
        </w:tc>
        <w:tc>
          <w:tcPr/>
          <w:p>
            <w:pPr>
              <w:jc w:val="center"/>
            </w:pPr>
            <w:r>
              <w:t xml:space="preserve">O que vem depois</w:t>
            </w:r>
          </w:p>
        </w:tc>
      </w:tr>
      <w:tr>
        <w:tc>
          <w:tcPr/>
          <w:p>
            <w:pPr>
              <w:jc w:val="center"/>
            </w:pPr>
            <w:r>
              <w:t xml:space="preserve">Gerenciamento de problemas</w:t>
            </w:r>
          </w:p>
        </w:tc>
        <w:tc>
          <w:tcPr/>
          <w:p>
            <w:pPr>
              <w:jc w:val="center"/>
            </w:pPr>
            <w:r>
              <w:t xml:space="preserve">Enterprise Risk Management</w:t>
            </w:r>
          </w:p>
        </w:tc>
        <w:tc>
          <w:tcPr/>
          <w:p>
            <w:pPr>
              <w:jc w:val="center"/>
            </w:pPr>
            <w:r>
              <w:t xml:space="preserve">Gerenciamento do risco operacional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center"/>
            </w:pPr>
            <w:r>
              <w:t xml:space="preserve">Estabelecer sua hierarquia de negócios</w:t>
            </w:r>
          </w:p>
          <w:p>
            <w:pPr>
              <w:pStyle w:val="Compact"/>
              <w:numPr>
                <w:ilvl w:val="0"/>
                <w:numId w:val="1003"/>
              </w:numPr>
              <w:jc w:val="center"/>
            </w:pPr>
            <w:r>
              <w:t xml:space="preserve">Consolidar e coordenar resultados e planos de remediação</w:t>
            </w:r>
          </w:p>
          <w:p>
            <w:pPr>
              <w:pStyle w:val="Compact"/>
              <w:numPr>
                <w:ilvl w:val="0"/>
                <w:numId w:val="1003"/>
              </w:numPr>
              <w:jc w:val="center"/>
            </w:pPr>
            <w:r>
              <w:t xml:space="preserve">Gerenciar exceções com aceitação adequada da aprovação de riscos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Identificar, avaliar e tratar riscos</w:t>
            </w:r>
          </w:p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Realizar avaliações decrescentes de risco inerente e residual</w:t>
            </w:r>
          </w:p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Processo gerenciado para escalar os problemas, a fim de garantir a aprovação adequada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Visão consolidada dos processos de negócios, riscos, controles, eventos de perda, principais indicadores, problemas pendentes e suas relações</w:t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Observação das mudanças no risco residual calculado, acumulando os riscos por unidade de negócios e declaração de risco empresarial</w:t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Gerenciamento consolidado dos problemas, com o status de todos os planos de correção abertos e exceções</w:t>
            </w:r>
          </w:p>
        </w:tc>
      </w:tr>
      <w:tr>
        <w:tc>
          <w:tcPr/>
          <w:p>
            <w:pPr>
              <w:jc w:val="center"/>
            </w:pPr>
            <w:r>
              <w:t xml:space="preserve"> </w:t>
            </w:r>
          </w:p>
        </w:tc>
        <w:tc>
          <w:tcPr/>
          <w:p>
            <w:pPr>
              <w:jc w:val="center"/>
            </w:pPr>
            <w:r>
              <w:t xml:space="preserve"> </w:t>
            </w:r>
          </w:p>
        </w:tc>
        <w:tc>
          <w:tcPr/>
          <w:p>
            <w:pPr>
              <w:jc w:val="center"/>
            </w:pPr>
            <w:r>
              <w:t xml:space="preserve">Archer Insight</w:t>
            </w:r>
          </w:p>
        </w:tc>
      </w:tr>
      <w:tr>
        <w:tc>
          <w:tcPr/>
          <w:p>
            <w:pPr>
              <w:jc w:val="center"/>
            </w:pPr>
            <w:r>
              <w:t xml:space="preserve"> </w:t>
            </w:r>
          </w:p>
        </w:tc>
        <w:tc>
          <w:tcPr/>
          <w:p>
            <w:pPr>
              <w:jc w:val="center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6"/>
              </w:numPr>
              <w:jc w:val="center"/>
            </w:pPr>
            <w:r>
              <w:t xml:space="preserve">Capture e documente elementos de risco usados ​​na quantificação de riscos, incluindo eventos de risco, motivadores, consequências, controles e mitigações</w:t>
            </w:r>
          </w:p>
          <w:p>
            <w:pPr>
              <w:numPr>
                <w:ilvl w:val="0"/>
                <w:numId w:val="1000"/>
              </w:numPr>
              <w:jc w:val="center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Este caso de uso foi projetado para ser usado apenas com a interface do Archer Insight, que permite quantificar riscos em uma abordagem de cima para baixo ou de baixo para cima, para que sua organização possa identificar, priorizar e comunicar riscos entre e dentro das divisões organizacionais de maneira coesa.</w:t>
            </w:r>
          </w:p>
        </w:tc>
      </w:tr>
    </w:tbl>
    <w:bookmarkEnd w:id="24"/>
    <w:bookmarkEnd w:id="25"/>
    <w:bookmarkStart w:id="29" w:name="Introdução"/>
    <w:p>
      <w:pPr>
        <w:pStyle w:val="Heading2"/>
      </w:pPr>
      <w:r>
        <w:t xml:space="preserve">Introdução</w:t>
      </w:r>
    </w:p>
    <w:p>
      <w:pPr>
        <w:pStyle w:val="Compact"/>
        <w:numPr>
          <w:ilvl w:val="0"/>
          <w:numId w:val="1007"/>
        </w:numPr>
      </w:pPr>
      <w:hyperlink r:id="rId26">
        <w:r>
          <w:rPr>
            <w:rStyle w:val="Hyperlink"/>
          </w:rPr>
          <w:t xml:space="preserve">Saiba mais sobre a arquitetura de casos de uso</w:t>
        </w:r>
      </w:hyperlink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Instalar e configurar o caso de uso</w:t>
        </w:r>
      </w:hyperlink>
    </w:p>
    <w:p>
      <w:pPr>
        <w:pStyle w:val="Compact"/>
        <w:numPr>
          <w:ilvl w:val="0"/>
          <w:numId w:val="1007"/>
        </w:numPr>
      </w:pPr>
      <w:hyperlink r:id="rId28">
        <w:r>
          <w:rPr>
            <w:rStyle w:val="Hyperlink"/>
          </w:rPr>
          <w:t xml:space="preserve">Usar o caso de uso</w:t>
        </w:r>
      </w:hyperlink>
    </w:p>
    <w:p>
      <w:pPr>
        <w:pStyle w:val="Compact"/>
        <w:numPr>
          <w:ilvl w:val="0"/>
          <w:numId w:val="1007"/>
        </w:numPr>
      </w:pPr>
      <w:r>
        <w:t xml:space="preserve">Veja o que há de novo nesta versão</w:t>
      </w:r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eorm_ritda_design.htm" TargetMode="External" /><Relationship Type="http://schemas.openxmlformats.org/officeDocument/2006/relationships/hyperlink" Id="rId27" Target="eorm_ritda_install.htm" TargetMode="External" /><Relationship Type="http://schemas.openxmlformats.org/officeDocument/2006/relationships/hyperlink" Id="rId28" Target="eorm_ritda_using.htm" TargetMode="External" /><Relationship Type="http://schemas.openxmlformats.org/officeDocument/2006/relationships/hyperlink" Id="rId23" Target="https://help.archerirm.cloud/archer_suite_help/en-us/Content/PortalHome/SolutionsHome/sol_home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eorm_ritda_design.htm" TargetMode="External" /><Relationship Type="http://schemas.openxmlformats.org/officeDocument/2006/relationships/hyperlink" Id="rId27" Target="eorm_ritda_install.htm" TargetMode="External" /><Relationship Type="http://schemas.openxmlformats.org/officeDocument/2006/relationships/hyperlink" Id="rId28" Target="eorm_ritda_using.htm" TargetMode="External" /><Relationship Type="http://schemas.openxmlformats.org/officeDocument/2006/relationships/hyperlink" Id="rId23" Target="https://help.archerirm.cloud/archer_suite_help/en-us/Content/PortalHome/SolutionsHome/sol_home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2025-03-06T14:39:08Z</dcterms:created>
  <dcterms:modified xsi:type="dcterms:W3CDTF">2025-03-06T14:39:08Z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