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avaliando-riscos-1"/>
    <w:p>
      <w:pPr>
        <w:pStyle w:val="Heading1"/>
      </w:pPr>
      <w:r>
        <w:t xml:space="preserve">Avaliando riscos</w:t>
      </w:r>
    </w:p>
    <w:p>
      <w:pPr>
        <w:pStyle w:val="FirstParagraph"/>
      </w:pPr>
      <w:r>
        <w:t xml:space="preserve">A abordagem top-down risk assessment permite que os gerentes de risco avaliem os riscos identificados no aplicativo Riscos por meio de avaliações qualitativas, autoavaliações de controle ou dividindo-os em eventos de risco. As avaliações de risco decrescentes validam os riscos existentes e podem também resultar na identificação de novos riscos a serem adicionados.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valiarumregistroderiscos">
        <w:r>
          <w:rPr>
            <w:rStyle w:val="Hyperlink"/>
          </w:rPr>
          <w:t xml:space="preserve">Avaliar um registro de riscos</w:t>
        </w:r>
      </w:hyperlink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w:hyperlink w:anchor="An%C3%A1liseemescalaordinal">
        <w:r>
          <w:rPr>
            <w:rStyle w:val="Hyperlink"/>
          </w:rPr>
          <w:t xml:space="preserve">Análise em escala ordinal</w:t>
        </w:r>
      </w:hyperlink>
    </w:p>
    <w:p>
      <w:pPr>
        <w:pStyle w:val="Compact"/>
        <w:numPr>
          <w:ilvl w:val="1"/>
          <w:numId w:val="1002"/>
        </w:numPr>
      </w:pPr>
      <w:hyperlink w:anchor="Quantitativa">
        <w:r>
          <w:rPr>
            <w:rStyle w:val="Hyperlink"/>
          </w:rPr>
          <w:t xml:space="preserve">Quantitativa</w:t>
        </w:r>
      </w:hyperlink>
    </w:p>
    <w:bookmarkStart w:id="23" w:name="Avaliarumregistroderiscos"/>
    <w:p>
      <w:pPr>
        <w:pStyle w:val="Heading2"/>
      </w:pPr>
      <w:r>
        <w:t xml:space="preserve">Avaliar um registro de riscos</w:t>
      </w:r>
    </w:p>
    <w:p>
      <w:pPr>
        <w:pStyle w:val="FirstParagraph"/>
      </w:pPr>
      <w:r>
        <w:t xml:space="preserve">Usuário: gerente de riscos</w:t>
      </w:r>
    </w:p>
    <w:p>
      <w:pPr>
        <w:pStyle w:val="BodyText"/>
      </w:pPr>
      <w:r>
        <w:t xml:space="preserve">Existem 2 tipos diferentes de top-down risk assessment: Análise em escala ordinal e quantitativa.</w:t>
      </w:r>
    </w:p>
    <w:bookmarkStart w:id="20" w:name="Análiseemescalaordinal"/>
    <w:p>
      <w:pPr>
        <w:pStyle w:val="Heading3"/>
      </w:pPr>
      <w:r>
        <w:t xml:space="preserve">Análise em escala ordinal</w:t>
      </w:r>
    </w:p>
    <w:p>
      <w:pPr>
        <w:pStyle w:val="FirstParagraph"/>
      </w:pPr>
      <w:r>
        <w:t xml:space="preserve">A Análise em escala ordinal oferece dois métodos de avaliação: qualitativo e semiquantitativo.</w:t>
      </w:r>
    </w:p>
    <w:p>
      <w:pPr>
        <w:numPr>
          <w:ilvl w:val="0"/>
          <w:numId w:val="1003"/>
        </w:numPr>
      </w:pPr>
      <w:r>
        <w:t xml:space="preserve">Para riscos qualitativos, a seção Pesquisa qualitativa permite que os Gerentes de risco avaliam a probabilidade de risco e seu impacto sobre uma base de risco inerente e de risco residual. Os campos Risco inerente – Risco qualitativo e residual – Qualitativo são preenchidos multiplicando a probabilidade do risco pelo impacto do risco.</w:t>
      </w:r>
    </w:p>
    <w:p>
      <w:pPr>
        <w:numPr>
          <w:ilvl w:val="0"/>
          <w:numId w:val="1003"/>
        </w:numPr>
      </w:pPr>
      <w:r>
        <w:t xml:space="preserve">Para riscos semiquantitativos, a seção Pesquisa Semiquantitativa permite que os Gerentes de risco avaliem a probabilidade de risco e a exposição financeira e adicionem categorias de risco afetadas.</w:t>
      </w:r>
    </w:p>
    <w:bookmarkEnd w:id="20"/>
    <w:bookmarkStart w:id="22" w:name="Quantitativa"/>
    <w:p>
      <w:pPr>
        <w:pStyle w:val="Heading3"/>
      </w:pPr>
      <w:r>
        <w:t xml:space="preserve">Quantitativa</w:t>
      </w:r>
    </w:p>
    <w:p>
      <w:pPr>
        <w:pStyle w:val="FirstParagraph"/>
      </w:pPr>
      <w:r>
        <w:t xml:space="preserve">Avaliações quantitativas requerem o Archer Insight. Para obter mais informações, consulte a</w:t>
      </w:r>
      <w:r>
        <w:t xml:space="preserve"> </w:t>
      </w:r>
      <w:hyperlink r:id="rId21">
        <w:r>
          <w:rPr>
            <w:rStyle w:val="Hyperlink"/>
          </w:rPr>
          <w:t xml:space="preserve">documentação do Archer Insight.</w:t>
        </w:r>
      </w:hyperlink>
    </w:p>
    <w:bookmarkEnd w:id="22"/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help.archerirm.cloud/insight_61301/Content/Insight/archer_insigh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help.archerirm.cloud/insight_61301/Content/Insight/archer_insigh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2025-03-06T14:39:35Z</dcterms:created>
  <dcterms:modified xsi:type="dcterms:W3CDTF">2025-03-06T14:39:35Z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