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6c9bb3cb6f71bb956bc5af639a9105687b5bc3c"/>
    <w:p>
      <w:pPr>
        <w:pStyle w:val="Heading1"/>
      </w:pPr>
      <w:r>
        <w:t xml:space="preserve">Gerenciando as avaliações da aprovação de risco</w:t>
      </w:r>
    </w:p>
    <w:p>
      <w:pPr>
        <w:pStyle w:val="FirstParagraph"/>
      </w:pPr>
      <w:r>
        <w:t xml:space="preserve">Após a avaliação, o risco deve ser analisado pelo proprietário da autoridade competente. As avaliações da aprovação de risco são enviadas ao analista apropriado com base em limites monetários predefinidos. Isso garante a propriedade efetiva de riscos e a documentação transparente das decisões de risco.</w:t>
      </w:r>
    </w:p>
    <w:p>
      <w:pPr>
        <w:pStyle w:val="BodyText"/>
      </w:pPr>
      <w:r>
        <w:t xml:space="preserve">Aqui estão as tarefas para gerenciar as avaliações de aprovação de risco:</w:t>
      </w:r>
    </w:p>
    <w:p>
      <w:pPr>
        <w:numPr>
          <w:ilvl w:val="0"/>
          <w:numId w:val="1001"/>
        </w:numPr>
      </w:pPr>
      <w:r>
        <w:t xml:space="preserve">Crie uma avaliação de aprovação de risco e forneça informações incluindo o valor da aprovação de risco e identifique o proprietário da autoridade. Para identificar o proprietário da autoridade, você deve ter identificado previamente os limites, o CEO, o CFO e o Controlador nos aplicativos Empresa, Unidade de negócios e Riscos.</w:t>
      </w:r>
    </w:p>
    <w:p>
      <w:pPr>
        <w:numPr>
          <w:ilvl w:val="0"/>
          <w:numId w:val="1001"/>
        </w:numPr>
      </w:pPr>
      <w:r>
        <w:t xml:space="preserve">Analise uma avaliação de aprovação de risco adicionando comentários para descrever erros e fornecer correções e aprovar ou rejeitar o registro.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Gerenciando a avaliação da aprovação de risco do Enterprise Risk Management</w:t>
        </w:r>
      </w:hyperlink>
    </w:p>
    <w:p>
      <w:pPr>
        <w:pStyle w:val="BodyText"/>
      </w:pPr>
      <w:r>
        <w:drawing>
          <wp:inline>
            <wp:extent cx="5334000" cy="4597029"/>
            <wp:effectExtent b="0" l="0" r="0" t="0"/>
            <wp:docPr descr="Enterprise Risk Management — Diagrama de fluxo do processo Gerenciando as avaliações da aprovação de risco" title="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fe60725875e8f85ab2c0e59e04eeb8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../Resources/Images/Solutions/EntOpRisk/eorm_ridta_risk_assess_approve_create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Resources/Images/Solutions/EntOpRisk/eorm_ridta_risk_assess_approve_create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2025-03-06T14:39:40Z</dcterms:created>
  <dcterms:modified xsi:type="dcterms:W3CDTF">2025-03-06T14:39:40Z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