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archer-loss-event-management-2024.03"/>
    <w:p>
      <w:pPr>
        <w:pStyle w:val="Heading1"/>
      </w:pPr>
      <w:bookmarkStart w:id="20" w:name="aanchor2"/>
      <w:bookmarkEnd w:id="20"/>
      <w:r>
        <w:t xml:space="preserve"> </w:t>
      </w:r>
      <w:r>
        <w:t xml:space="preserve">Archer</w:t>
      </w:r>
      <w:r>
        <w:t xml:space="preserve"> </w:t>
      </w:r>
      <w:r>
        <w:t xml:space="preserve">Loss Event Management 2024.03</w:t>
      </w:r>
    </w:p>
    <w:p>
      <w:pPr>
        <w:pStyle w:val="FirstParagraph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Loss Event Management permite que as organizações capturem os eventos de perda e quase acidentes e façam um inventário real deles, além dos eventos de perda externos relevantes, relacionados ao setor.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d869edc99fa4c8cbb45c7afff4c3558acccb6ff">
        <w:r>
          <w:rPr>
            <w:rStyle w:val="Hyperlink"/>
          </w:rPr>
          <w:t xml:space="preserve">Benefícios de usar o Loss Event Management</w:t>
        </w:r>
      </w:hyperlink>
    </w:p>
    <w:p>
      <w:pPr>
        <w:pStyle w:val="Compact"/>
        <w:numPr>
          <w:ilvl w:val="0"/>
          <w:numId w:val="1001"/>
        </w:numPr>
      </w:pPr>
      <w:hyperlink w:anchor="Introdu%C3%A7%C3%A3o">
        <w:r>
          <w:rPr>
            <w:rStyle w:val="Hyperlink"/>
          </w:rPr>
          <w:t xml:space="preserve">Introdução</w:t>
        </w:r>
      </w:hyperlink>
    </w:p>
    <w:bookmarkStart w:id="22" w:name="BenefíciosdeusaroLossEventManagement"/>
    <w:p>
      <w:pPr>
        <w:pStyle w:val="Heading2"/>
      </w:pPr>
      <w:r>
        <w:t xml:space="preserve">Benefícios de usar o Loss Event Management</w:t>
      </w:r>
    </w:p>
    <w:p>
      <w:pPr>
        <w:pStyle w:val="FirstParagraph"/>
      </w:pPr>
      <w:r>
        <w:t xml:space="preserve">Combinada com as aplicações adjacentes, a análise de causa raiz do evento de perda pode ser realizada para entender por que a perda ocorreu e tomar medidas apropriadas para reduzir a probabilidade e o impacto das perdas semelhantes que vierem a ocorrer no futuro. Os eventos de perda podem ser avaliados como parte das avaliações de riscos decrescente e das autoavaliações de riscos, se forem usadas.</w:t>
      </w:r>
    </w:p>
    <w:p>
      <w:pPr>
        <w:pStyle w:val="BodyText"/>
      </w:pPr>
      <w:r>
        <w:t xml:space="preserve">Para obter os principais recursos e benefícios deste caso de uso, consulte o Data sheet na</w:t>
      </w:r>
      <w:r>
        <w:t xml:space="preserve"> </w:t>
      </w:r>
      <w:r>
        <w:t xml:space="preserve">Archer Community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https://www.archerirm.community/t5/solution-use-case-overviews/archer-solutions-amp-use-cases/ba-p/572564</w:t>
        </w:r>
      </w:hyperlink>
    </w:p>
    <w:bookmarkEnd w:id="22"/>
    <w:bookmarkStart w:id="26" w:name="Introdução"/>
    <w:p>
      <w:pPr>
        <w:pStyle w:val="Heading2"/>
      </w:pPr>
      <w:r>
        <w:t xml:space="preserve">Introdução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Saiba mais sobre o projeto de casos de uso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Instalar e configurar o caso de uso</w:t>
        </w:r>
      </w:hyperlink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O que há de novo nesta versão</w:t>
        </w:r>
      </w:hyperlink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RN_EORM/lem_2024_03_RN.htm" TargetMode="External" /><Relationship Type="http://schemas.openxmlformats.org/officeDocument/2006/relationships/hyperlink" Id="rId23" Target="eorm_lem_design.htm" TargetMode="External" /><Relationship Type="http://schemas.openxmlformats.org/officeDocument/2006/relationships/hyperlink" Id="rId24" Target="eorm_lem_install.htm" TargetMode="External" /><Relationship Type="http://schemas.openxmlformats.org/officeDocument/2006/relationships/hyperlink" Id="rId21" Target="https://www.archerirm.community/t5/solution-use-case-overviews/archer-solutions-amp-use-cases/ba-p/57256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RN_EORM/lem_2024_03_RN.htm" TargetMode="External" /><Relationship Type="http://schemas.openxmlformats.org/officeDocument/2006/relationships/hyperlink" Id="rId23" Target="eorm_lem_design.htm" TargetMode="External" /><Relationship Type="http://schemas.openxmlformats.org/officeDocument/2006/relationships/hyperlink" Id="rId24" Target="eorm_lem_install.htm" TargetMode="External" /><Relationship Type="http://schemas.openxmlformats.org/officeDocument/2006/relationships/hyperlink" Id="rId21" Target="https://www.archerirm.community/t5/solution-use-case-overviews/archer-solutions-amp-use-cases/ba-p/57256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2025-03-06T14:40:15Z</dcterms:created>
  <dcterms:modified xsi:type="dcterms:W3CDTF">2025-03-06T14:40:15Z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