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mc-main-content"/>
    <w:bookmarkStart w:id="33" w:name="X6c02dd6fdc9745fff37359e0f7dc9519d3e0eb2"/>
    <w:p>
      <w:pPr>
        <w:pStyle w:val="Heading1"/>
      </w:pPr>
      <w:bookmarkStart w:id="20" w:name="aanchor3"/>
      <w:bookmarkEnd w:id="20"/>
      <w:r>
        <w:t xml:space="preserve"> </w:t>
      </w:r>
      <w:r>
        <w:t xml:space="preserve">Design do caso de uso do Key Indicator Management</w:t>
      </w:r>
    </w:p>
    <w:p>
      <w:pPr>
        <w:pStyle w:val="FirstParagraph"/>
      </w:pPr>
      <w:r>
        <w:t xml:space="preserve">Este tópico explica o design de caso de uso do Key Indicator Management.</w:t>
      </w:r>
    </w:p>
    <w:p>
      <w:pPr>
        <w:pStyle w:val="BodyText"/>
      </w:pPr>
      <w:r>
        <w:t xml:space="preserve">Nesta página</w:t>
      </w:r>
    </w:p>
    <w:p>
      <w:pPr>
        <w:pStyle w:val="Compact"/>
        <w:numPr>
          <w:ilvl w:val="0"/>
          <w:numId w:val="1001"/>
        </w:numPr>
      </w:pPr>
      <w:hyperlink w:anchor="Diagramadaarquitetura">
        <w:r>
          <w:rPr>
            <w:rStyle w:val="Hyperlink"/>
          </w:rPr>
          <w:t xml:space="preserve">Diagrama da arquitetura</w:t>
        </w:r>
      </w:hyperlink>
    </w:p>
    <w:p>
      <w:pPr>
        <w:pStyle w:val="Compact"/>
        <w:numPr>
          <w:ilvl w:val="0"/>
          <w:numId w:val="1001"/>
        </w:numPr>
      </w:pPr>
      <w:hyperlink w:anchor="Aplicativos">
        <w:r>
          <w:rPr>
            <w:rStyle w:val="Hyperlink"/>
          </w:rPr>
          <w:t xml:space="preserve">Aplicativos</w:t>
        </w:r>
      </w:hyperlink>
    </w:p>
    <w:p>
      <w:pPr>
        <w:pStyle w:val="Compact"/>
        <w:numPr>
          <w:ilvl w:val="0"/>
          <w:numId w:val="1001"/>
        </w:numPr>
      </w:pPr>
      <w:hyperlink w:anchor="Fun%C3%A7%C3%B5esdeacesso">
        <w:r>
          <w:rPr>
            <w:rStyle w:val="Hyperlink"/>
          </w:rPr>
          <w:t xml:space="preserve">Funções de acesso</w:t>
        </w:r>
      </w:hyperlink>
    </w:p>
    <w:p>
      <w:pPr>
        <w:pStyle w:val="Compact"/>
        <w:numPr>
          <w:ilvl w:val="0"/>
          <w:numId w:val="1001"/>
        </w:numPr>
      </w:pPr>
      <w:hyperlink w:anchor="Pain%C3%A9isdecontrole">
        <w:r>
          <w:rPr>
            <w:rStyle w:val="Hyperlink"/>
          </w:rPr>
          <w:t xml:space="preserve">Painéis de controle</w:t>
        </w:r>
      </w:hyperlink>
    </w:p>
    <w:p>
      <w:pPr>
        <w:pStyle w:val="Compact"/>
        <w:numPr>
          <w:ilvl w:val="0"/>
          <w:numId w:val="1001"/>
        </w:numPr>
      </w:pPr>
    </w:p>
    <w:p>
      <w:pPr>
        <w:pStyle w:val="Compact"/>
        <w:numPr>
          <w:ilvl w:val="1"/>
          <w:numId w:val="1002"/>
        </w:numPr>
      </w:pPr>
      <w:hyperlink w:anchor="Gerenciamentoexecutivo">
        <w:r>
          <w:rPr>
            <w:rStyle w:val="Hyperlink"/>
          </w:rPr>
          <w:t xml:space="preserve">Gerenciamento executivo</w:t>
        </w:r>
      </w:hyperlink>
    </w:p>
    <w:p>
      <w:pPr>
        <w:pStyle w:val="Compact"/>
        <w:numPr>
          <w:ilvl w:val="1"/>
          <w:numId w:val="1002"/>
        </w:numPr>
      </w:pPr>
      <w:hyperlink w:anchor="Gerentedeunidadedeneg%C3%B3cios">
        <w:r>
          <w:rPr>
            <w:rStyle w:val="Hyperlink"/>
          </w:rPr>
          <w:t xml:space="preserve">Gerente de unidade de negócios</w:t>
        </w:r>
      </w:hyperlink>
    </w:p>
    <w:p>
      <w:pPr>
        <w:pStyle w:val="Compact"/>
        <w:numPr>
          <w:ilvl w:val="1"/>
          <w:numId w:val="1002"/>
        </w:numPr>
      </w:pPr>
      <w:hyperlink w:anchor="Gerentederiscos">
        <w:r>
          <w:rPr>
            <w:rStyle w:val="Hyperlink"/>
          </w:rPr>
          <w:t xml:space="preserve">Gerente de riscos</w:t>
        </w:r>
      </w:hyperlink>
    </w:p>
    <w:p>
      <w:pPr>
        <w:pStyle w:val="Compact"/>
        <w:numPr>
          <w:ilvl w:val="0"/>
          <w:numId w:val="1001"/>
        </w:numPr>
      </w:pPr>
      <w:hyperlink w:anchor="Feedsdedados">
        <w:r>
          <w:rPr>
            <w:rStyle w:val="Hyperlink"/>
          </w:rPr>
          <w:t xml:space="preserve">Feeds de dados</w:t>
        </w:r>
      </w:hyperlink>
    </w:p>
    <w:bookmarkStart w:id="25" w:name="Diagramadaarquitetura"/>
    <w:p>
      <w:pPr>
        <w:pStyle w:val="Heading2"/>
      </w:pPr>
      <w:r>
        <w:t xml:space="preserve">Diagrama da arquitetura</w:t>
      </w:r>
    </w:p>
    <w:p>
      <w:pPr>
        <w:pStyle w:val="FirstParagraph"/>
      </w:pPr>
      <w:r>
        <w:t xml:space="preserve">O diagrama a seguir mostra as relações entre os aplicativos no caso de uso Gerenciamento de principais indicadores.</w:t>
      </w:r>
    </w:p>
    <w:p>
      <w:pPr>
        <w:pStyle w:val="BodyText"/>
      </w:pPr>
      <w:r>
        <w:t xml:space="preserve">Faça download do arquivo de origem do diagrama aqui:</w:t>
      </w:r>
      <w:r>
        <w:t xml:space="preserve"> </w:t>
      </w:r>
      <w:hyperlink r:id="rId21">
        <w:r>
          <w:rPr>
            <w:rStyle w:val="Hyperlink"/>
          </w:rPr>
          <w:t xml:space="preserve">Diagrama de arquitetura do Gerenciamento de principais indicadores</w:t>
        </w:r>
      </w:hyperlink>
    </w:p>
    <w:p>
      <w:pPr>
        <w:pStyle w:val="BodyText"/>
      </w:pPr>
      <w:r>
        <w:drawing>
          <wp:inline>
            <wp:extent cx="5334000" cy="7736669"/>
            <wp:effectExtent b="0" l="0" r="0" t="0"/>
            <wp:docPr descr="" title="" id="23" name="Picture"/>
            <a:graphic>
              <a:graphicData uri="http://schemas.openxmlformats.org/drawingml/2006/picture">
                <pic:pic>
                  <pic:nvPicPr>
                    <pic:cNvPr descr="C:/Users/samue/WebScrapper/HelpArcher-to-pdf/images/a2fbe53e7f41a9787773ba27ac492e7b.png" id="24" name="Picture"/>
                    <pic:cNvPicPr>
                      <a:picLocks noChangeArrowheads="1" noChangeAspect="1"/>
                    </pic:cNvPicPr>
                  </pic:nvPicPr>
                  <pic:blipFill>
                    <a:blip r:embed="rId22"/>
                    <a:stretch>
                      <a:fillRect/>
                    </a:stretch>
                  </pic:blipFill>
                  <pic:spPr bwMode="auto">
                    <a:xfrm>
                      <a:off x="0" y="0"/>
                      <a:ext cx="5334000" cy="7736669"/>
                    </a:xfrm>
                    <a:prstGeom prst="rect">
                      <a:avLst/>
                    </a:prstGeom>
                    <a:noFill/>
                    <a:ln w="9525">
                      <a:noFill/>
                      <a:headEnd/>
                      <a:tailEnd/>
                    </a:ln>
                  </pic:spPr>
                </pic:pic>
              </a:graphicData>
            </a:graphic>
          </wp:inline>
        </w:drawing>
      </w:r>
    </w:p>
    <w:p>
      <w:pPr>
        <w:pStyle w:val="BodyText"/>
      </w:pPr>
      <w:r>
        <w:rPr>
          <w:b/>
          <w:bCs/>
        </w:rPr>
        <w:t xml:space="preserve">Observação:</w:t>
      </w:r>
      <w:r>
        <w:t xml:space="preserve"> </w:t>
      </w:r>
      <w:r>
        <w:t xml:space="preserve">Feeds que criam medidas de uma biblioteca de medidas (seja processo de negócios ou riscos) não criam registros de declaração de riscos associados aos registros de declaração de riscos. Os objetos do catálogo de ativos de negócios e suas avaliações associadas não entram automaticamente no escopo do projeto de risco e devem ter o escopo atribuído manualmente.</w:t>
      </w:r>
    </w:p>
    <w:bookmarkEnd w:id="25"/>
    <w:bookmarkStart w:id="26" w:name="Aplicativos"/>
    <w:p>
      <w:pPr>
        <w:pStyle w:val="Heading2"/>
      </w:pPr>
      <w:r>
        <w:t xml:space="preserve">Aplicativos</w:t>
      </w:r>
    </w:p>
    <w:p>
      <w:pPr>
        <w:pStyle w:val="TableCaption"/>
      </w:pPr>
      <w:r>
        <w:t xml:space="preserve">A tabela a seguir descreve os aplicativos de casos de uso.</w:t>
      </w:r>
    </w:p>
    <w:tbl>
      <w:tblPr>
        <w:tblStyle w:val="Table"/>
        <w:tblW w:type="auto" w:w="0"/>
        <w:tblLook w:firstRow="1" w:lastRow="0" w:firstColumn="0" w:lastColumn="0" w:noHBand="0" w:noVBand="0" w:val="0020"/>
        <w:tblCaption w:val="A tabela a seguir descreve os aplicativos de casos de uso."/>
      </w:tblPr>
      <w:tblGrid>
        <w:gridCol w:w="3960"/>
        <w:gridCol w:w="3960"/>
      </w:tblGrid>
      <w:tr>
        <w:trPr>
          <w:tblHeader w:val="on"/>
        </w:trPr>
        <w:tc>
          <w:tcPr/>
          <w:p>
            <w:pPr>
              <w:pStyle w:val="BodyText"/>
            </w:pPr>
            <w:r>
              <w:t xml:space="preserve">Aplicativo</w:t>
            </w:r>
          </w:p>
        </w:tc>
        <w:tc>
          <w:tcPr/>
          <w:p>
            <w:pPr>
              <w:pStyle w:val="BodyText"/>
            </w:pPr>
            <w:r>
              <w:t xml:space="preserve">Descrição</w:t>
            </w:r>
          </w:p>
        </w:tc>
      </w:tr>
      <w:tr>
        <w:tc>
          <w:tcPr/>
          <w:p>
            <w:pPr>
              <w:pStyle w:val="BodyText"/>
            </w:pPr>
            <w:r>
              <w:t xml:space="preserve">Medições</w:t>
            </w:r>
          </w:p>
        </w:tc>
        <w:tc>
          <w:tcPr/>
          <w:p>
            <w:pPr>
              <w:pStyle w:val="BodyText"/>
            </w:pPr>
            <w:r>
              <w:t xml:space="preserve">O aplicativo Métricas permite estabelecer métricas periódicas para objetivos, incluindo os principais indicadores de risco (KRIs), os principais indicadores de desempenho (KPIs) e os principais indicadores de controle (KCIs). É possível rastrear métricas com base nas expectativas e previsões estabelecidas, assim como gerar indicadores de advertência quando as medições excederem os limites.</w:t>
            </w:r>
          </w:p>
        </w:tc>
      </w:tr>
      <w:tr>
        <w:tc>
          <w:tcPr/>
          <w:p>
            <w:pPr>
              <w:pStyle w:val="BodyText"/>
            </w:pPr>
            <w:r>
              <w:t xml:space="preserve">Resultados das medidas</w:t>
            </w:r>
          </w:p>
        </w:tc>
        <w:tc>
          <w:tcPr/>
          <w:p>
            <w:pPr>
              <w:pStyle w:val="BodyText"/>
            </w:pPr>
            <w:r>
              <w:t xml:space="preserve">O aplicativo Resultados da métrica permite que o proprietário da métrica relate medições individuais da métrica.</w:t>
            </w:r>
          </w:p>
        </w:tc>
      </w:tr>
      <w:tr>
        <w:tc>
          <w:tcPr/>
          <w:p>
            <w:pPr>
              <w:pStyle w:val="BodyText"/>
            </w:pPr>
            <w:r>
              <w:t xml:space="preserve">Biblioteca de medidas</w:t>
            </w:r>
          </w:p>
        </w:tc>
        <w:tc>
          <w:tcPr/>
          <w:p>
            <w:pPr>
              <w:pStyle w:val="BodyText"/>
            </w:pPr>
            <w:r>
              <w:t xml:space="preserve">A biblioteca de medições é uma lista de medições genéricas que é possível importar, manter e adicionar. Esses registros da biblioteca de medições podem ser usados no aplicativo Unidade de negócios para criar rapidamente novas medidas. Selecione os registros da biblioteca de medição no registro Unidade de negócios e defina o indicador pronto na unidade de negócios. Assim a função de criar medidas do feed da unidade de negócios da biblioteca de medidas o processará.</w:t>
            </w:r>
          </w:p>
        </w:tc>
      </w:tr>
      <w:tr>
        <w:tc>
          <w:tcPr/>
          <w:p>
            <w:pPr>
              <w:pStyle w:val="BodyText"/>
            </w:pPr>
            <w:r>
              <w:t xml:space="preserve">Unidade de negócios</w:t>
            </w:r>
          </w:p>
        </w:tc>
        <w:tc>
          <w:tcPr/>
          <w:p>
            <w:pPr>
              <w:pStyle w:val="BodyText"/>
            </w:pPr>
            <w:r>
              <w:t xml:space="preserve">O aplicativo Unidade de negócios apresenta uma visão detalhada de todas as atividades relacionadas a uma unidade de negócios específica.</w:t>
            </w:r>
          </w:p>
          <w:p>
            <w:pPr>
              <w:pStyle w:val="BodyText"/>
            </w:pPr>
            <w:r>
              <w:rPr>
                <w:b/>
                <w:bCs/>
              </w:rPr>
              <w:t xml:space="preserve">Observação:</w:t>
            </w:r>
            <w:r>
              <w:t xml:space="preserve"> </w:t>
            </w:r>
            <w:r>
              <w:t xml:space="preserve">o aplicativo Unidade de negócios está incluído no pacote Catálogo corporativo.</w:t>
            </w:r>
          </w:p>
        </w:tc>
      </w:tr>
      <w:tr>
        <w:tc>
          <w:tcPr/>
          <w:p>
            <w:pPr>
              <w:pStyle w:val="BodyText"/>
            </w:pPr>
            <w:r>
              <w:t xml:space="preserve">Empresa</w:t>
            </w:r>
          </w:p>
        </w:tc>
        <w:tc>
          <w:tcPr/>
          <w:p>
            <w:pPr>
              <w:pStyle w:val="BodyText"/>
            </w:pPr>
            <w:r>
              <w:t xml:space="preserve">O aplicativo Empresa armazena informações gerais, financeiras e de conformidade de uma empresa. Combinado com os aplicativos Divisão e Unidade de negócios, esse aplicativo oferece suporte à geração de relatórios cumulativos sobre iniciativas de governança, riscos e conformidade em toda a empresa.</w:t>
            </w:r>
          </w:p>
          <w:p>
            <w:pPr>
              <w:pStyle w:val="BodyText"/>
            </w:pPr>
            <w:r>
              <w:rPr>
                <w:b/>
                <w:bCs/>
              </w:rPr>
              <w:t xml:space="preserve">Observação:</w:t>
            </w:r>
            <w:r>
              <w:t xml:space="preserve"> </w:t>
            </w:r>
            <w:r>
              <w:t xml:space="preserve">o aplicativo Empresa está incluído no pacote Catálogo corporativo.</w:t>
            </w:r>
          </w:p>
        </w:tc>
      </w:tr>
      <w:tr>
        <w:tc>
          <w:tcPr/>
          <w:p>
            <w:pPr>
              <w:pStyle w:val="BodyText"/>
            </w:pPr>
            <w:r>
              <w:t xml:space="preserve">Divisão</w:t>
            </w:r>
          </w:p>
        </w:tc>
        <w:tc>
          <w:tcPr/>
          <w:p>
            <w:pPr>
              <w:pStyle w:val="BodyText"/>
            </w:pPr>
            <w:r>
              <w:t xml:space="preserve">O aplicativo Divisão representa a unidade intermediária na hierarquia de negócios que está um nível abaixo da empresa e um nível acima da unidade de negócios individual. Use esse aplicativo para documentar melhor os relacionamentos em seus negócios e avaliar a eficiência e a conformidade das divisões individuais da empresa.</w:t>
            </w:r>
          </w:p>
          <w:p>
            <w:pPr>
              <w:pStyle w:val="BodyText"/>
            </w:pPr>
            <w:r>
              <w:rPr>
                <w:b/>
                <w:bCs/>
              </w:rPr>
              <w:t xml:space="preserve">Observação:</w:t>
            </w:r>
            <w:r>
              <w:t xml:space="preserve"> </w:t>
            </w:r>
            <w:r>
              <w:t xml:space="preserve">o aplicativo Divisão está incluído no pacote Catálogo corporativo.</w:t>
            </w:r>
          </w:p>
        </w:tc>
      </w:tr>
    </w:tbl>
    <w:bookmarkEnd w:id="26"/>
    <w:bookmarkStart w:id="27" w:name="Funçõesdeacesso"/>
    <w:p>
      <w:pPr>
        <w:pStyle w:val="Heading2"/>
      </w:pPr>
      <w:r>
        <w:t xml:space="preserve">Funções de acesso</w:t>
      </w:r>
    </w:p>
    <w:p>
      <w:pPr>
        <w:pStyle w:val="TableCaption"/>
      </w:pPr>
      <w:r>
        <w:t xml:space="preserve">A tabela a seguir descreve as funções de acesso de casos de uso.</w:t>
      </w:r>
    </w:p>
    <w:tbl>
      <w:tblPr>
        <w:tblStyle w:val="Table"/>
        <w:tblW w:type="auto" w:w="0"/>
        <w:tblLook w:firstRow="1" w:lastRow="0" w:firstColumn="0" w:lastColumn="0" w:noHBand="0" w:noVBand="0" w:val="0020"/>
        <w:tblCaption w:val="A tabela a seguir descreve as funções de acesso de casos de uso."/>
      </w:tblPr>
      <w:tblGrid>
        <w:gridCol w:w="3960"/>
        <w:gridCol w:w="3960"/>
      </w:tblGrid>
      <w:tr>
        <w:trPr>
          <w:tblHeader w:val="on"/>
        </w:trPr>
        <w:tc>
          <w:tcPr/>
          <w:p>
            <w:pPr>
              <w:pStyle w:val="BodyText"/>
            </w:pPr>
            <w:r>
              <w:t xml:space="preserve">Função de acesso</w:t>
            </w:r>
          </w:p>
        </w:tc>
        <w:tc>
          <w:tcPr/>
          <w:p>
            <w:pPr>
              <w:pStyle w:val="BodyText"/>
            </w:pPr>
            <w:r>
              <w:t xml:space="preserve">Descrição</w:t>
            </w:r>
          </w:p>
        </w:tc>
      </w:tr>
      <w:tr>
        <w:tc>
          <w:tcPr/>
          <w:p>
            <w:pPr>
              <w:pStyle w:val="BodyText"/>
            </w:pPr>
            <w:r>
              <w:t xml:space="preserve">RM: Administrador</w:t>
            </w:r>
          </w:p>
        </w:tc>
        <w:tc>
          <w:tcPr/>
          <w:p>
            <w:pPr>
              <w:pStyle w:val="BodyText"/>
            </w:pPr>
            <w:r>
              <w:t xml:space="preserve">Esta função serve como o administrador do caso de uso. (Gerente de riscos, gerente de riscos especialista)</w:t>
            </w:r>
          </w:p>
        </w:tc>
      </w:tr>
      <w:tr>
        <w:tc>
          <w:tcPr/>
          <w:p>
            <w:pPr>
              <w:pStyle w:val="BodyText"/>
            </w:pPr>
            <w:r>
              <w:t xml:space="preserve">RM: Executivos</w:t>
            </w:r>
          </w:p>
        </w:tc>
        <w:tc>
          <w:tcPr/>
          <w:p>
            <w:pPr>
              <w:pStyle w:val="BodyText"/>
            </w:pPr>
            <w:r>
              <w:t xml:space="preserve">Esta função fornece os níveis de acesso adequados no caso de uso à equipe executiva (CFO, CEO, controlador).</w:t>
            </w:r>
          </w:p>
        </w:tc>
      </w:tr>
      <w:tr>
        <w:tc>
          <w:tcPr/>
          <w:p>
            <w:pPr>
              <w:pStyle w:val="BodyText"/>
            </w:pPr>
            <w:r>
              <w:t xml:space="preserve">RM: Gerente</w:t>
            </w:r>
          </w:p>
        </w:tc>
        <w:tc>
          <w:tcPr/>
          <w:p>
            <w:pPr>
              <w:pStyle w:val="BodyText"/>
            </w:pPr>
            <w:r>
              <w:t xml:space="preserve">Esta função fornece à gerência acesso para criação, leitura e atualização no caso de uso.</w:t>
            </w:r>
          </w:p>
        </w:tc>
      </w:tr>
      <w:tr>
        <w:tc>
          <w:tcPr/>
          <w:p>
            <w:pPr>
              <w:pStyle w:val="BodyText"/>
            </w:pPr>
            <w:r>
              <w:t xml:space="preserve">RM: Responsável</w:t>
            </w:r>
          </w:p>
        </w:tc>
        <w:tc>
          <w:tcPr/>
          <w:p>
            <w:pPr>
              <w:pStyle w:val="BodyText"/>
            </w:pPr>
            <w:r>
              <w:t xml:space="preserve">Esta função fornece aos responsáveis pelos processos de negócios acesso para criação, leitura e atualização no caso de uso.</w:t>
            </w:r>
          </w:p>
        </w:tc>
      </w:tr>
      <w:tr>
        <w:tc>
          <w:tcPr/>
          <w:p>
            <w:pPr>
              <w:pStyle w:val="BodyText"/>
            </w:pPr>
            <w:r>
              <w:t xml:space="preserve">RM: Somente leitura</w:t>
            </w:r>
          </w:p>
        </w:tc>
        <w:tc>
          <w:tcPr/>
          <w:p>
            <w:pPr>
              <w:pStyle w:val="BodyText"/>
            </w:pPr>
            <w:r>
              <w:t xml:space="preserve">Esta função fornece acesso somente leitura para o caso de uso.</w:t>
            </w:r>
          </w:p>
        </w:tc>
      </w:tr>
    </w:tbl>
    <w:bookmarkEnd w:id="27"/>
    <w:bookmarkStart w:id="31" w:name="Painéisdecontrole"/>
    <w:p>
      <w:pPr>
        <w:pStyle w:val="Heading2"/>
      </w:pPr>
      <w:r>
        <w:t xml:space="preserve">Painéis de controle</w:t>
      </w:r>
    </w:p>
    <w:p>
      <w:pPr>
        <w:pStyle w:val="TableCaption"/>
      </w:pPr>
      <w:r>
        <w:t xml:space="preserve">A tabela a seguir descreve os painéis de controle do caso de uso.</w:t>
      </w:r>
    </w:p>
    <w:tbl>
      <w:tblPr>
        <w:tblStyle w:val="Table"/>
        <w:tblW w:type="auto" w:w="0"/>
        <w:tblLook w:firstRow="1" w:lastRow="0" w:firstColumn="0" w:lastColumn="0" w:noHBand="0" w:noVBand="0" w:val="0020"/>
        <w:tblCaption w:val="A tabela a seguir descreve os painéis de controle do caso de uso."/>
      </w:tblPr>
      <w:tblGrid>
        <w:gridCol w:w="3960"/>
        <w:gridCol w:w="3960"/>
      </w:tblGrid>
      <w:tr>
        <w:trPr>
          <w:tblHeader w:val="on"/>
        </w:trPr>
        <w:tc>
          <w:tcPr/>
          <w:p>
            <w:pPr>
              <w:pStyle w:val="BodyText"/>
            </w:pPr>
            <w:r>
              <w:t xml:space="preserve">Painel de controle</w:t>
            </w:r>
          </w:p>
        </w:tc>
        <w:tc>
          <w:tcPr/>
          <w:p>
            <w:pPr>
              <w:pStyle w:val="BodyText"/>
            </w:pPr>
            <w:r>
              <w:t xml:space="preserve">Descrição</w:t>
            </w:r>
          </w:p>
        </w:tc>
      </w:tr>
      <w:tr>
        <w:tc>
          <w:tcPr/>
          <w:p>
            <w:pPr>
              <w:pStyle w:val="BodyText"/>
            </w:pPr>
            <w:r>
              <w:t xml:space="preserve">Gerenciamento executivo</w:t>
            </w:r>
          </w:p>
        </w:tc>
        <w:tc>
          <w:tcPr/>
          <w:p>
            <w:pPr>
              <w:pStyle w:val="BodyText"/>
            </w:pPr>
            <w:r>
              <w:t xml:space="preserve">Esse painel de controle baseado em persona é usado por controladores, CFOs e CEOs para visualizar riscos da empresa/unidade de negócios, rastrear a exposição a riscos analisar os eventos de perda que exigem aprovação executiva.</w:t>
            </w:r>
          </w:p>
        </w:tc>
      </w:tr>
      <w:tr>
        <w:tc>
          <w:tcPr/>
          <w:p>
            <w:pPr>
              <w:pStyle w:val="BodyText"/>
            </w:pPr>
            <w:r>
              <w:t xml:space="preserve">Gerente de unidade de negócios</w:t>
            </w:r>
          </w:p>
        </w:tc>
        <w:tc>
          <w:tcPr/>
          <w:p>
            <w:pPr>
              <w:pStyle w:val="BodyText"/>
            </w:pPr>
            <w:r>
              <w:t xml:space="preserve">Esse painel de controle baseado em persona é usado por gerentes da unidade de negócios e os coordenadores da unidade de negócios para criar novos eventos de perda e exibir avaliações ativas, eventos de perda não aprovados e eventos de perda que exigem análise ou aprovação executiva.</w:t>
            </w:r>
          </w:p>
        </w:tc>
      </w:tr>
      <w:tr>
        <w:tc>
          <w:tcPr/>
          <w:p>
            <w:pPr>
              <w:pStyle w:val="BodyText"/>
            </w:pPr>
            <w:r>
              <w:t xml:space="preserve">Gerente de riscos</w:t>
            </w:r>
          </w:p>
        </w:tc>
        <w:tc>
          <w:tcPr/>
          <w:p>
            <w:pPr>
              <w:pStyle w:val="BodyText"/>
            </w:pPr>
            <w:r>
              <w:t xml:space="preserve">Esse painel de controle baseado em persona é usado pelos gerentes de riscos e especialistas em riscos para exibir avaliações ativas, eventos de perda aguardando revisão e projetos de risco abertos.</w:t>
            </w:r>
          </w:p>
        </w:tc>
      </w:tr>
    </w:tbl>
    <w:p>
      <w:pPr>
        <w:pStyle w:val="BodyText"/>
      </w:pPr>
      <w:r>
        <w:t xml:space="preserve">As seções a seguir descrevem as limitações de geração de relatórios para cada painel de controle neste caso de uso. Limitações de relatórios nos painéis de controle ocorrem quando os casos de uso relacionados não são licenciados.</w:t>
      </w:r>
    </w:p>
    <w:bookmarkStart w:id="28" w:name="Gerenciamentoexecutivo"/>
    <w:p>
      <w:pPr>
        <w:pStyle w:val="Heading3"/>
      </w:pPr>
      <w:r>
        <w:t xml:space="preserve">Gerenciamento executivo</w:t>
      </w:r>
    </w:p>
    <w:p>
      <w:pPr>
        <w:pStyle w:val="TableCaption"/>
      </w:pPr>
      <w:r>
        <w:t xml:space="preserve">A tabela a seguir descreve as limitações de geração de relatórios no painel de controle Gerenciamento executivo.</w:t>
      </w:r>
    </w:p>
    <w:tbl>
      <w:tblPr>
        <w:tblStyle w:val="Table"/>
        <w:tblW w:type="auto" w:w="0"/>
        <w:tblLook w:firstRow="1" w:lastRow="0" w:firstColumn="0" w:lastColumn="0" w:noHBand="0" w:noVBand="0" w:val="0020"/>
        <w:tblCaption w:val="A tabela a seguir descreve as limitações de geração de relatórios no painel de controle Gerenciamento executivo."/>
      </w:tblPr>
      <w:tblGrid>
        <w:gridCol w:w="3960"/>
        <w:gridCol w:w="3960"/>
      </w:tblGrid>
      <w:tr>
        <w:trPr>
          <w:tblHeader w:val="on"/>
        </w:trPr>
        <w:tc>
          <w:tcPr/>
          <w:p>
            <w:pPr>
              <w:pStyle w:val="BodyText"/>
            </w:pPr>
            <w:r>
              <w:t xml:space="preserve">iView</w:t>
            </w:r>
          </w:p>
        </w:tc>
        <w:tc>
          <w:tcPr/>
          <w:p>
            <w:pPr>
              <w:pStyle w:val="BodyText"/>
            </w:pPr>
            <w:r>
              <w:t xml:space="preserve">Limitações de geração de relatórios de caso de uso</w:t>
            </w:r>
          </w:p>
        </w:tc>
      </w:tr>
      <w:tr>
        <w:tc>
          <w:tcPr/>
          <w:p>
            <w:pPr>
              <w:pStyle w:val="BodyText"/>
            </w:pPr>
            <w:r>
              <w:t xml:space="preserve">Valor de perda bruta reivindicado</w:t>
            </w:r>
          </w:p>
        </w:tc>
        <w:tc>
          <w:tcPr/>
          <w:p>
            <w:pPr>
              <w:pStyle w:val="BodyText"/>
            </w:pPr>
            <w:r>
              <w:t xml:space="preserve">O relatório é inválido.</w:t>
            </w:r>
          </w:p>
        </w:tc>
      </w:tr>
      <w:tr>
        <w:tc>
          <w:tcPr/>
          <w:p>
            <w:pPr>
              <w:pStyle w:val="BodyText"/>
            </w:pPr>
            <w:r>
              <w:t xml:space="preserve">Alto risco</w:t>
            </w:r>
          </w:p>
        </w:tc>
        <w:tc>
          <w:tcPr/>
          <w:p>
            <w:pPr>
              <w:pStyle w:val="BodyText"/>
            </w:pPr>
            <w:r>
              <w:t xml:space="preserve">O relatório é inválido.</w:t>
            </w:r>
          </w:p>
        </w:tc>
      </w:tr>
      <w:tr>
        <w:tc>
          <w:tcPr/>
          <w:p>
            <w:pPr>
              <w:pStyle w:val="BodyText"/>
            </w:pPr>
            <w:r>
              <w:t xml:space="preserve">Avaliação de aprovação de riscos aguardando revisão</w:t>
            </w:r>
          </w:p>
        </w:tc>
        <w:tc>
          <w:tcPr/>
          <w:p>
            <w:pPr>
              <w:pStyle w:val="BodyText"/>
            </w:pPr>
            <w:r>
              <w:t xml:space="preserve">O relatório é inválido.</w:t>
            </w:r>
          </w:p>
        </w:tc>
      </w:tr>
      <w:tr>
        <w:tc>
          <w:tcPr/>
          <w:p>
            <w:pPr>
              <w:pStyle w:val="BodyText"/>
            </w:pPr>
            <w:r>
              <w:t xml:space="preserve">Probabilidade e impacto</w:t>
            </w:r>
          </w:p>
        </w:tc>
        <w:tc>
          <w:tcPr/>
          <w:p>
            <w:pPr>
              <w:pStyle w:val="BodyText"/>
            </w:pPr>
            <w:r>
              <w:t xml:space="preserve">Todos os relatórios são inválidos.</w:t>
            </w:r>
          </w:p>
        </w:tc>
      </w:tr>
      <w:tr>
        <w:tc>
          <w:tcPr/>
          <w:p>
            <w:pPr>
              <w:pStyle w:val="BodyText"/>
            </w:pPr>
            <w:r>
              <w:t xml:space="preserve">Eventos de perda</w:t>
            </w:r>
          </w:p>
        </w:tc>
        <w:tc>
          <w:tcPr/>
          <w:p>
            <w:pPr>
              <w:pStyle w:val="BodyText"/>
            </w:pPr>
            <w:r>
              <w:t xml:space="preserve">Todos os relatórios são inválidos.</w:t>
            </w:r>
          </w:p>
        </w:tc>
      </w:tr>
      <w:tr>
        <w:tc>
          <w:tcPr/>
          <w:p>
            <w:pPr>
              <w:pStyle w:val="BodyText"/>
            </w:pPr>
            <w:r>
              <w:t xml:space="preserve">Risco por unidade de negócios e classificação</w:t>
            </w:r>
          </w:p>
        </w:tc>
        <w:tc>
          <w:tcPr/>
          <w:p>
            <w:pPr>
              <w:pStyle w:val="BodyText"/>
            </w:pPr>
            <w:r>
              <w:t xml:space="preserve">Todos os relatórios são inválidos.</w:t>
            </w:r>
          </w:p>
        </w:tc>
      </w:tr>
      <w:tr>
        <w:tc>
          <w:tcPr/>
          <w:p>
            <w:pPr>
              <w:pStyle w:val="BodyText"/>
            </w:pPr>
            <w:r>
              <w:t xml:space="preserve">Exposição a riscos</w:t>
            </w:r>
          </w:p>
        </w:tc>
        <w:tc>
          <w:tcPr/>
          <w:p>
            <w:pPr>
              <w:pStyle w:val="BodyText"/>
            </w:pPr>
            <w:r>
              <w:t xml:space="preserve">O relatório é inválido.</w:t>
            </w:r>
          </w:p>
        </w:tc>
      </w:tr>
      <w:tr>
        <w:tc>
          <w:tcPr/>
          <w:p>
            <w:pPr>
              <w:pStyle w:val="BodyText"/>
            </w:pPr>
            <w:r>
              <w:t xml:space="preserve">Inventário de riscos e Top-Down Risk Assessment</w:t>
            </w:r>
          </w:p>
        </w:tc>
        <w:tc>
          <w:tcPr/>
          <w:p>
            <w:pPr>
              <w:pStyle w:val="BodyText"/>
            </w:pPr>
            <w:r>
              <w:t xml:space="preserve">Todos os relatórios são inválidos.</w:t>
            </w:r>
          </w:p>
        </w:tc>
      </w:tr>
    </w:tbl>
    <w:bookmarkEnd w:id="28"/>
    <w:bookmarkStart w:id="29" w:name="Gerentedeunidadedenegócios"/>
    <w:p>
      <w:pPr>
        <w:pStyle w:val="Heading3"/>
      </w:pPr>
      <w:r>
        <w:t xml:space="preserve">Gerente de unidade de negócios</w:t>
      </w:r>
    </w:p>
    <w:p>
      <w:pPr>
        <w:pStyle w:val="TableCaption"/>
      </w:pPr>
      <w:r>
        <w:t xml:space="preserve">A tabela a seguir descreve as limitações de geração de relatórios no painel de controle Gerente de unidade de negócios.</w:t>
      </w:r>
    </w:p>
    <w:tbl>
      <w:tblPr>
        <w:tblStyle w:val="Table"/>
        <w:tblW w:type="auto" w:w="0"/>
        <w:tblLook w:firstRow="1" w:lastRow="0" w:firstColumn="0" w:lastColumn="0" w:noHBand="0" w:noVBand="0" w:val="0020"/>
        <w:tblCaption w:val="A tabela a seguir descreve as limitações de geração de relatórios no painel de controle Gerente de unidade de negócios."/>
      </w:tblPr>
      <w:tblGrid>
        <w:gridCol w:w="3960"/>
        <w:gridCol w:w="3960"/>
      </w:tblGrid>
      <w:tr>
        <w:trPr>
          <w:tblHeader w:val="on"/>
        </w:trPr>
        <w:tc>
          <w:tcPr/>
          <w:p>
            <w:pPr>
              <w:pStyle w:val="BodyText"/>
            </w:pPr>
            <w:r>
              <w:t xml:space="preserve">iView</w:t>
            </w:r>
          </w:p>
        </w:tc>
        <w:tc>
          <w:tcPr/>
          <w:p>
            <w:pPr>
              <w:pStyle w:val="BodyText"/>
            </w:pPr>
            <w:r>
              <w:t xml:space="preserve">Limitações de geração de relatórios de caso de uso</w:t>
            </w:r>
          </w:p>
        </w:tc>
      </w:tr>
      <w:tr>
        <w:tc>
          <w:tcPr/>
          <w:p>
            <w:pPr>
              <w:pStyle w:val="BodyText"/>
            </w:pPr>
            <w:r>
              <w:t xml:space="preserve">Links rápidos para o gerente da unidade de negócios</w:t>
            </w:r>
          </w:p>
        </w:tc>
        <w:tc>
          <w:tcPr/>
          <w:p>
            <w:pPr>
              <w:pStyle w:val="BodyText"/>
            </w:pPr>
            <w:r>
              <w:t xml:space="preserve">3 de 4 links rápidos são inválidos.</w:t>
            </w:r>
          </w:p>
        </w:tc>
      </w:tr>
      <w:tr>
        <w:tc>
          <w:tcPr/>
          <w:p>
            <w:pPr>
              <w:pStyle w:val="BodyText"/>
            </w:pPr>
            <w:r>
              <w:t xml:space="preserve">Todos os riscos</w:t>
            </w:r>
          </w:p>
        </w:tc>
        <w:tc>
          <w:tcPr/>
          <w:p>
            <w:pPr>
              <w:pStyle w:val="BodyText"/>
            </w:pPr>
            <w:r>
              <w:t xml:space="preserve">O relatório é inválido.</w:t>
            </w:r>
          </w:p>
        </w:tc>
      </w:tr>
      <w:tr>
        <w:tc>
          <w:tcPr/>
          <w:p>
            <w:pPr>
              <w:pStyle w:val="BodyText"/>
            </w:pPr>
            <w:r>
              <w:t xml:space="preserve">Riscos não classificados</w:t>
            </w:r>
          </w:p>
        </w:tc>
        <w:tc>
          <w:tcPr/>
          <w:p>
            <w:pPr>
              <w:pStyle w:val="BodyText"/>
            </w:pPr>
            <w:r>
              <w:t xml:space="preserve">O relatório é inválido.</w:t>
            </w:r>
          </w:p>
        </w:tc>
      </w:tr>
      <w:tr>
        <w:tc>
          <w:tcPr/>
          <w:p>
            <w:pPr>
              <w:pStyle w:val="BodyText"/>
            </w:pPr>
            <w:r>
              <w:t xml:space="preserve">Probabilidade e impacto</w:t>
            </w:r>
          </w:p>
        </w:tc>
        <w:tc>
          <w:tcPr/>
          <w:p>
            <w:pPr>
              <w:pStyle w:val="BodyText"/>
            </w:pPr>
            <w:r>
              <w:t xml:space="preserve">Todos os relatórios são inválidos.</w:t>
            </w:r>
          </w:p>
        </w:tc>
      </w:tr>
      <w:tr>
        <w:tc>
          <w:tcPr/>
          <w:p>
            <w:pPr>
              <w:pStyle w:val="BodyText"/>
            </w:pPr>
            <w:r>
              <w:t xml:space="preserve">Inventário de riscos para o gerente de unidade de negócios</w:t>
            </w:r>
          </w:p>
        </w:tc>
        <w:tc>
          <w:tcPr/>
          <w:p>
            <w:pPr>
              <w:pStyle w:val="BodyText"/>
            </w:pPr>
            <w:r>
              <w:t xml:space="preserve">Todos os relatórios são inválidos.</w:t>
            </w:r>
          </w:p>
        </w:tc>
      </w:tr>
      <w:tr>
        <w:tc>
          <w:tcPr/>
          <w:p>
            <w:pPr>
              <w:pStyle w:val="BodyText"/>
            </w:pPr>
            <w:r>
              <w:t xml:space="preserve">Análise de projeto de risco de baixo para cima</w:t>
            </w:r>
          </w:p>
        </w:tc>
        <w:tc>
          <w:tcPr/>
          <w:p>
            <w:pPr>
              <w:pStyle w:val="BodyText"/>
            </w:pPr>
            <w:r>
              <w:t xml:space="preserve">O relatório é inválido.</w:t>
            </w:r>
          </w:p>
        </w:tc>
      </w:tr>
      <w:tr>
        <w:tc>
          <w:tcPr/>
          <w:p>
            <w:pPr>
              <w:pStyle w:val="BodyText"/>
            </w:pPr>
            <w:r>
              <w:t xml:space="preserve">Resumo de eventos de perda</w:t>
            </w:r>
          </w:p>
        </w:tc>
        <w:tc>
          <w:tcPr/>
          <w:p>
            <w:pPr>
              <w:pStyle w:val="BodyText"/>
            </w:pPr>
            <w:r>
              <w:t xml:space="preserve">Todos os relatórios são inválidos.</w:t>
            </w:r>
          </w:p>
        </w:tc>
      </w:tr>
      <w:tr>
        <w:tc>
          <w:tcPr/>
          <w:p>
            <w:pPr>
              <w:pStyle w:val="BodyText"/>
            </w:pPr>
            <w:r>
              <w:t xml:space="preserve">Meus eventos de perda que requerem revisão</w:t>
            </w:r>
          </w:p>
        </w:tc>
        <w:tc>
          <w:tcPr/>
          <w:p>
            <w:pPr>
              <w:pStyle w:val="BodyText"/>
            </w:pPr>
            <w:r>
              <w:t xml:space="preserve">Todos os relatórios são inválidos.</w:t>
            </w:r>
          </w:p>
        </w:tc>
      </w:tr>
      <w:tr>
        <w:tc>
          <w:tcPr/>
          <w:p>
            <w:pPr>
              <w:pStyle w:val="BodyText"/>
            </w:pPr>
            <w:r>
              <w:t xml:space="preserve">Resumo da autoavaliação de riscos</w:t>
            </w:r>
          </w:p>
        </w:tc>
        <w:tc>
          <w:tcPr/>
          <w:p>
            <w:pPr>
              <w:pStyle w:val="BodyText"/>
            </w:pPr>
            <w:r>
              <w:t xml:space="preserve">Todos os relatórios são inválidos.</w:t>
            </w:r>
          </w:p>
        </w:tc>
      </w:tr>
    </w:tbl>
    <w:bookmarkEnd w:id="29"/>
    <w:bookmarkStart w:id="30" w:name="Gerentederiscos"/>
    <w:p>
      <w:pPr>
        <w:pStyle w:val="Heading3"/>
      </w:pPr>
      <w:r>
        <w:t xml:space="preserve">Gerente de riscos</w:t>
      </w:r>
    </w:p>
    <w:p>
      <w:pPr>
        <w:pStyle w:val="TableCaption"/>
      </w:pPr>
      <w:r>
        <w:t xml:space="preserve">A tabela a seguir descreve as limitações de geração de relatórios no painel de controle Gerente de riscos.</w:t>
      </w:r>
    </w:p>
    <w:tbl>
      <w:tblPr>
        <w:tblStyle w:val="Table"/>
        <w:tblW w:type="auto" w:w="0"/>
        <w:tblLook w:firstRow="1" w:lastRow="0" w:firstColumn="0" w:lastColumn="0" w:noHBand="0" w:noVBand="0" w:val="0020"/>
        <w:tblCaption w:val="A tabela a seguir descreve as limitações de geração de relatórios no painel de controle Gerente de riscos."/>
      </w:tblPr>
      <w:tblGrid>
        <w:gridCol w:w="3960"/>
        <w:gridCol w:w="3960"/>
      </w:tblGrid>
      <w:tr>
        <w:trPr>
          <w:tblHeader w:val="on"/>
        </w:trPr>
        <w:tc>
          <w:tcPr/>
          <w:p>
            <w:pPr>
              <w:pStyle w:val="BodyText"/>
            </w:pPr>
            <w:r>
              <w:t xml:space="preserve">iView</w:t>
            </w:r>
          </w:p>
        </w:tc>
        <w:tc>
          <w:tcPr/>
          <w:p>
            <w:pPr>
              <w:pStyle w:val="BodyText"/>
            </w:pPr>
            <w:r>
              <w:t xml:space="preserve">Limitações de geração de relatórios de caso de uso</w:t>
            </w:r>
          </w:p>
        </w:tc>
      </w:tr>
      <w:tr>
        <w:tc>
          <w:tcPr/>
          <w:p>
            <w:pPr>
              <w:pStyle w:val="BodyText"/>
            </w:pPr>
            <w:r>
              <w:t xml:space="preserve">Links rápidos para o gerente de riscos</w:t>
            </w:r>
          </w:p>
        </w:tc>
        <w:tc>
          <w:tcPr/>
          <w:p>
            <w:pPr>
              <w:pStyle w:val="BodyText"/>
            </w:pPr>
            <w:r>
              <w:t xml:space="preserve">4 de 5 links rápidos são inválidos.</w:t>
            </w:r>
          </w:p>
        </w:tc>
      </w:tr>
      <w:tr>
        <w:tc>
          <w:tcPr/>
          <w:p>
            <w:pPr>
              <w:pStyle w:val="BodyText"/>
            </w:pPr>
            <w:r>
              <w:t xml:space="preserve">Todos os riscos</w:t>
            </w:r>
          </w:p>
        </w:tc>
        <w:tc>
          <w:tcPr/>
          <w:p>
            <w:pPr>
              <w:pStyle w:val="BodyText"/>
            </w:pPr>
            <w:r>
              <w:t xml:space="preserve">O relatório é inválido.</w:t>
            </w:r>
          </w:p>
        </w:tc>
      </w:tr>
      <w:tr>
        <w:tc>
          <w:tcPr/>
          <w:p>
            <w:pPr>
              <w:pStyle w:val="BodyText"/>
            </w:pPr>
            <w:r>
              <w:t xml:space="preserve">Perda total</w:t>
            </w:r>
          </w:p>
        </w:tc>
        <w:tc>
          <w:tcPr/>
          <w:p>
            <w:pPr>
              <w:pStyle w:val="BodyText"/>
            </w:pPr>
            <w:r>
              <w:t xml:space="preserve">O relatório é inválido.</w:t>
            </w:r>
          </w:p>
        </w:tc>
      </w:tr>
      <w:tr>
        <w:tc>
          <w:tcPr/>
          <w:p>
            <w:pPr>
              <w:pStyle w:val="BodyText"/>
            </w:pPr>
            <w:r>
              <w:t xml:space="preserve">Alto risco</w:t>
            </w:r>
          </w:p>
        </w:tc>
        <w:tc>
          <w:tcPr/>
          <w:p>
            <w:pPr>
              <w:pStyle w:val="BodyText"/>
            </w:pPr>
            <w:r>
              <w:t xml:space="preserve">O relatório é inválido.</w:t>
            </w:r>
          </w:p>
        </w:tc>
      </w:tr>
      <w:tr>
        <w:tc>
          <w:tcPr/>
          <w:p>
            <w:pPr>
              <w:pStyle w:val="BodyText"/>
            </w:pPr>
            <w:r>
              <w:t xml:space="preserve">Probabilidade e impacto</w:t>
            </w:r>
          </w:p>
        </w:tc>
        <w:tc>
          <w:tcPr/>
          <w:p>
            <w:pPr>
              <w:pStyle w:val="BodyText"/>
            </w:pPr>
            <w:r>
              <w:t xml:space="preserve">Todos os relatórios são inválidos.</w:t>
            </w:r>
          </w:p>
        </w:tc>
      </w:tr>
      <w:tr>
        <w:tc>
          <w:tcPr/>
          <w:p>
            <w:pPr>
              <w:pStyle w:val="BodyText"/>
            </w:pPr>
            <w:r>
              <w:t xml:space="preserve">Riscos por unidade de negócios e classificação</w:t>
            </w:r>
          </w:p>
        </w:tc>
        <w:tc>
          <w:tcPr/>
          <w:p>
            <w:pPr>
              <w:pStyle w:val="BodyText"/>
            </w:pPr>
            <w:r>
              <w:t xml:space="preserve">O relatório é inválido.</w:t>
            </w:r>
          </w:p>
        </w:tc>
      </w:tr>
      <w:tr>
        <w:tc>
          <w:tcPr/>
          <w:p>
            <w:pPr>
              <w:pStyle w:val="BodyText"/>
            </w:pPr>
            <w:r>
              <w:t xml:space="preserve">Inventário de riscos para o gerente de riscos</w:t>
            </w:r>
          </w:p>
        </w:tc>
        <w:tc>
          <w:tcPr/>
          <w:p>
            <w:pPr>
              <w:pStyle w:val="BodyText"/>
            </w:pPr>
            <w:r>
              <w:t xml:space="preserve">Todos os relatórios são inválidos.</w:t>
            </w:r>
          </w:p>
        </w:tc>
      </w:tr>
      <w:tr>
        <w:tc>
          <w:tcPr/>
          <w:p>
            <w:pPr>
              <w:pStyle w:val="BodyText"/>
            </w:pPr>
            <w:r>
              <w:t xml:space="preserve">Processo de negócios por classificação de risco</w:t>
            </w:r>
          </w:p>
        </w:tc>
        <w:tc>
          <w:tcPr/>
          <w:p>
            <w:pPr>
              <w:pStyle w:val="BodyText"/>
            </w:pPr>
            <w:r>
              <w:t xml:space="preserve">O relatório é inválido.</w:t>
            </w:r>
          </w:p>
        </w:tc>
      </w:tr>
      <w:tr>
        <w:tc>
          <w:tcPr/>
          <w:p>
            <w:pPr>
              <w:pStyle w:val="BodyText"/>
            </w:pPr>
            <w:r>
              <w:t xml:space="preserve">Status da autoavaliação e rastreamento de alterações</w:t>
            </w:r>
          </w:p>
        </w:tc>
        <w:tc>
          <w:tcPr/>
          <w:p>
            <w:pPr>
              <w:pStyle w:val="BodyText"/>
            </w:pPr>
            <w:r>
              <w:t xml:space="preserve">Todos os relatórios são inválidos.</w:t>
            </w:r>
          </w:p>
        </w:tc>
      </w:tr>
      <w:tr>
        <w:tc>
          <w:tcPr/>
          <w:p>
            <w:pPr>
              <w:pStyle w:val="BodyText"/>
            </w:pPr>
            <w:r>
              <w:t xml:space="preserve">Preocupações da avaliação de controle</w:t>
            </w:r>
          </w:p>
        </w:tc>
        <w:tc>
          <w:tcPr/>
          <w:p>
            <w:pPr>
              <w:pStyle w:val="BodyText"/>
            </w:pPr>
            <w:r>
              <w:t xml:space="preserve">Todos os relatórios são inválidos.</w:t>
            </w:r>
          </w:p>
        </w:tc>
      </w:tr>
      <w:tr>
        <w:tc>
          <w:tcPr/>
          <w:p>
            <w:pPr>
              <w:pStyle w:val="BodyText"/>
            </w:pPr>
            <w:r>
              <w:t xml:space="preserve">Loss Event Management</w:t>
            </w:r>
          </w:p>
        </w:tc>
        <w:tc>
          <w:tcPr/>
          <w:p>
            <w:pPr>
              <w:pStyle w:val="BodyText"/>
            </w:pPr>
            <w:r>
              <w:t xml:space="preserve">Todos os relatórios são inválidos.</w:t>
            </w:r>
          </w:p>
        </w:tc>
      </w:tr>
      <w:tr>
        <w:tc>
          <w:tcPr/>
          <w:p>
            <w:pPr>
              <w:pStyle w:val="BodyText"/>
            </w:pPr>
            <w:r>
              <w:t xml:space="preserve">Autoavaliação que aguarda a revisão do gerente de riscos</w:t>
            </w:r>
          </w:p>
        </w:tc>
        <w:tc>
          <w:tcPr/>
          <w:p>
            <w:pPr>
              <w:pStyle w:val="BodyText"/>
            </w:pPr>
            <w:r>
              <w:t xml:space="preserve">O relatório é inválido.</w:t>
            </w:r>
          </w:p>
        </w:tc>
      </w:tr>
      <w:tr>
        <w:tc>
          <w:tcPr/>
          <w:p>
            <w:pPr>
              <w:pStyle w:val="BodyText"/>
            </w:pPr>
            <w:r>
              <w:t xml:space="preserve">Bottom-Up Risk Analysis Report</w:t>
            </w:r>
          </w:p>
        </w:tc>
        <w:tc>
          <w:tcPr/>
          <w:p>
            <w:pPr>
              <w:pStyle w:val="BodyText"/>
            </w:pPr>
            <w:r>
              <w:t xml:space="preserve">Todos os relatórios são inválidos.</w:t>
            </w:r>
          </w:p>
        </w:tc>
      </w:tr>
    </w:tbl>
    <w:bookmarkEnd w:id="30"/>
    <w:bookmarkEnd w:id="31"/>
    <w:bookmarkStart w:id="32" w:name="Feedsdedados"/>
    <w:p>
      <w:pPr>
        <w:pStyle w:val="Heading2"/>
      </w:pPr>
      <w:r>
        <w:t xml:space="preserve">Feeds de dados</w:t>
      </w:r>
    </w:p>
    <w:p>
      <w:pPr>
        <w:pStyle w:val="TableCaption"/>
      </w:pPr>
      <w:r>
        <w:t xml:space="preserve">A tabela a seguir descreve os feeds de dados dos casos de uso.</w:t>
      </w:r>
    </w:p>
    <w:tbl>
      <w:tblPr>
        <w:tblStyle w:val="Table"/>
        <w:tblW w:type="auto" w:w="0"/>
        <w:tblLook w:firstRow="1" w:lastRow="0" w:firstColumn="0" w:lastColumn="0" w:noHBand="0" w:noVBand="0" w:val="0020"/>
        <w:tblCaption w:val="A tabela a seguir descreve os feeds de dados dos casos de uso."/>
      </w:tblPr>
      <w:tblGrid>
        <w:gridCol w:w="3960"/>
        <w:gridCol w:w="3960"/>
      </w:tblGrid>
      <w:tr>
        <w:trPr>
          <w:tblHeader w:val="on"/>
        </w:trPr>
        <w:tc>
          <w:tcPr/>
          <w:p>
            <w:pPr>
              <w:pStyle w:val="Compact"/>
            </w:pPr>
            <w:r>
              <w:t xml:space="preserve">Feeds de dados</w:t>
            </w:r>
          </w:p>
        </w:tc>
        <w:tc>
          <w:tcPr/>
          <w:p>
            <w:pPr>
              <w:pStyle w:val="Compact"/>
            </w:pPr>
            <w:r>
              <w:t xml:space="preserve">Descrição</w:t>
            </w:r>
          </w:p>
        </w:tc>
      </w:tr>
      <w:tr>
        <w:tc>
          <w:tcPr/>
          <w:p>
            <w:pPr>
              <w:pStyle w:val="BodyText"/>
            </w:pPr>
            <w:r>
              <w:t xml:space="preserve">Criar medições da biblioteca de medições para a unidade de negócios</w:t>
            </w:r>
          </w:p>
        </w:tc>
        <w:tc>
          <w:tcPr/>
          <w:p>
            <w:pPr>
              <w:pStyle w:val="BodyText"/>
            </w:pPr>
            <w:r>
              <w:t xml:space="preserve">Permite aos usuários criar cópias exclusivas dos registros de medidas da biblioteca de medição e associá-los à unidade de negócios.</w:t>
            </w:r>
          </w:p>
        </w:tc>
      </w:tr>
      <w:tr>
        <w:tc>
          <w:tcPr/>
          <w:p>
            <w:pPr>
              <w:pStyle w:val="BodyText"/>
            </w:pPr>
            <w:r>
              <w:t xml:space="preserve">Clear Metric Library Linkage From Business Unit</w:t>
            </w:r>
          </w:p>
        </w:tc>
        <w:tc>
          <w:tcPr/>
          <w:p>
            <w:pPr>
              <w:pStyle w:val="BodyText"/>
            </w:pPr>
            <w:r>
              <w:t xml:space="preserve">Feeds de dados de referências que seguem as medições criar da biblioteca de medições para o feed de dados da unidade de negócios. Remove a referência cruzada de biblioteca de medição da unidade de negócios processados.</w:t>
            </w:r>
          </w:p>
        </w:tc>
      </w:tr>
      <w:tr>
        <w:tc>
          <w:tcPr/>
          <w:p>
            <w:pPr>
              <w:pStyle w:val="BodyText"/>
            </w:pPr>
            <w:r>
              <w:t xml:space="preserve">Gerar resultados de métricas</w:t>
            </w:r>
          </w:p>
        </w:tc>
        <w:tc>
          <w:tcPr/>
          <w:p>
            <w:pPr>
              <w:pStyle w:val="BodyText"/>
            </w:pPr>
            <w:r>
              <w:t xml:space="preserve">Cria automaticamente resultados de métricas quando a métrica associada atinge sua próxima data de avaliação ou não tem uma última data de medição.</w:t>
            </w:r>
          </w:p>
        </w:tc>
      </w:tr>
    </w:tbl>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Resources/Images/Solutions/EntOpRisk/eorm_architecture.vsd" TargetMode="External" /></Relationships>
</file>

<file path=word/_rels/footnotes.xml.rels><?xml version="1.0" encoding="UTF-8"?><Relationships xmlns="http://schemas.openxmlformats.org/package/2006/relationships"><Relationship Type="http://schemas.openxmlformats.org/officeDocument/2006/relationships/hyperlink" Id="rId21" Target="../../Resources/Images/Solutions/EntOpRisk/eorm_architecture.vs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2025-03-06T14:41:01Z</dcterms:created>
  <dcterms:modified xsi:type="dcterms:W3CDTF">2025-03-06T14:41:01Z</dcterms:modified>
</cp:coreProperties>
</file>

<file path=docProps/custom.xml><?xml version="1.0" encoding="utf-8"?>
<Properties xmlns="http://schemas.openxmlformats.org/officeDocument/2006/custom-properties" xmlns:vt="http://schemas.openxmlformats.org/officeDocument/2006/docPropsVTypes"/>
</file>