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42f43c3c1ad484a697ca420f67f36a0b2241a03"/>
    <w:p>
      <w:pPr>
        <w:pStyle w:val="Heading1"/>
      </w:pPr>
      <w:bookmarkStart w:id="20" w:name="aanchor4"/>
      <w:bookmarkEnd w:id="20"/>
      <w:r>
        <w:t xml:space="preserve"> </w:t>
      </w:r>
      <w:r>
        <w:t xml:space="preserve">Configurando feeds de dados do Gerenciamento de principais indicadores</w:t>
      </w:r>
    </w:p>
    <w:p>
      <w:pPr>
        <w:pStyle w:val="FirstParagraph"/>
      </w:pPr>
      <w:r>
        <w:t xml:space="preserve">Conclua as tarefas para configurar os feeds de dados do Key Indicator Management.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f3781196af4366396b58d29ead509298c20d10">
        <w:r>
          <w:rPr>
            <w:rStyle w:val="Hyperlink"/>
          </w:rPr>
          <w:t xml:space="preserve">Sequência de importação de feed de dados</w:t>
        </w:r>
      </w:hyperlink>
    </w:p>
    <w:p>
      <w:pPr>
        <w:pStyle w:val="Compact"/>
        <w:numPr>
          <w:ilvl w:val="0"/>
          <w:numId w:val="1001"/>
        </w:numPr>
      </w:pPr>
      <w:hyperlink w:anchor="Tarefa1Configurarfeedsdedados">
        <w:r>
          <w:rPr>
            <w:rStyle w:val="Hyperlink"/>
          </w:rPr>
          <w:t xml:space="preserve">Tarefa 1: Configurar feeds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TipodetransportedoArcherWebServices">
        <w:r>
          <w:rPr>
            <w:rStyle w:val="Hyperlink"/>
          </w:rPr>
          <w:t xml:space="preserve">Tipo de transporte do Archer Web Services</w:t>
        </w:r>
      </w:hyperlink>
    </w:p>
    <w:p>
      <w:pPr>
        <w:pStyle w:val="Compact"/>
        <w:numPr>
          <w:ilvl w:val="0"/>
          <w:numId w:val="1001"/>
        </w:numPr>
      </w:pPr>
      <w:hyperlink w:anchor="Tarefa2Agendarumfeeddedados">
        <w:r>
          <w:rPr>
            <w:rStyle w:val="Hyperlink"/>
          </w:rPr>
          <w:t xml:space="preserve">Tarefa 2: Agendar um feed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2" w:name="Sequênciadeimportaçãodefeeddedados"/>
    <w:p>
      <w:pPr>
        <w:pStyle w:val="Heading2"/>
      </w:pPr>
      <w:r>
        <w:t xml:space="preserve">Sequência de importação de feed de dados</w:t>
      </w:r>
    </w:p>
    <w:p>
      <w:pPr>
        <w:pStyle w:val="FirstParagraph"/>
      </w:pPr>
      <w:r>
        <w:t xml:space="preserve">Importe os feeds de dados na seguinte ordem:</w:t>
      </w:r>
    </w:p>
    <w:p>
      <w:pPr>
        <w:pStyle w:val="Compact"/>
        <w:numPr>
          <w:ilvl w:val="0"/>
          <w:numId w:val="1004"/>
        </w:numPr>
      </w:pPr>
      <w:r>
        <w:t xml:space="preserve">Criar medições da biblioteca de medições para a unidade de negócios</w:t>
      </w:r>
    </w:p>
    <w:p>
      <w:pPr>
        <w:pStyle w:val="Compact"/>
        <w:numPr>
          <w:ilvl w:val="0"/>
          <w:numId w:val="1004"/>
        </w:numPr>
      </w:pPr>
      <w:r>
        <w:t xml:space="preserve">Clear Metric Library Linkage From Business Unit</w:t>
      </w:r>
    </w:p>
    <w:p>
      <w:pPr>
        <w:pStyle w:val="Compact"/>
        <w:numPr>
          <w:ilvl w:val="0"/>
          <w:numId w:val="1004"/>
        </w:numPr>
      </w:pPr>
      <w:r>
        <w:t xml:space="preserve">Criar resultados de métricas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instalar todos os arquivos de pacote antes de importar feeds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Instalando os pacotes</w:t>
        </w:r>
      </w:hyperlink>
      <w:r>
        <w:t xml:space="preserve">.</w:t>
      </w:r>
    </w:p>
    <w:bookmarkEnd w:id="22"/>
    <w:bookmarkStart w:id="30" w:name="Tarefa1Configurarfeedsdedados"/>
    <w:p>
      <w:pPr>
        <w:pStyle w:val="Heading2"/>
      </w:pPr>
      <w:r>
        <w:t xml:space="preserve">Tarefa 1: Configurar feeds de dados</w:t>
      </w:r>
    </w:p>
    <w:p>
      <w:pPr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4a1cf713946cf1693c9e201cbccd93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05"/>
        </w:numPr>
      </w:pPr>
      <w:r>
        <w:t xml:space="preserve">Se você não instalou os feeds de dados por meio do pacote, importe-os na ordem acima.</w:t>
      </w:r>
    </w:p>
    <w:p>
      <w:pPr>
        <w:pStyle w:val="Compact"/>
        <w:numPr>
          <w:ilvl w:val="1"/>
          <w:numId w:val="1006"/>
        </w:numPr>
      </w:pPr>
      <w:r>
        <w:t xml:space="preserve">Na página de listagem do feed de dados, clique em</w:t>
      </w:r>
      <w:r>
        <w:t xml:space="preserve"> </w:t>
      </w:r>
      <w:r>
        <w:drawing>
          <wp:inline>
            <wp:extent cx="250256" cy="240631"/>
            <wp:effectExtent b="0" l="0" r="0" t="0"/>
            <wp:docPr descr="Fazer download do pacote" title="Fazer download do pacote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99ef1ecd78a31faebc960f1cf602fb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Localize e selecione o arquivo .dfx5 do feed de dados.</w:t>
      </w:r>
    </w:p>
    <w:p>
      <w:pPr>
        <w:pStyle w:val="Compact"/>
        <w:numPr>
          <w:ilvl w:val="0"/>
          <w:numId w:val="1005"/>
        </w:numPr>
      </w:pPr>
      <w:r>
        <w:t xml:space="preserve">Selecione o feed de dados que deseja configurar.</w:t>
      </w:r>
    </w:p>
    <w:p>
      <w:pPr>
        <w:numPr>
          <w:ilvl w:val="0"/>
          <w:numId w:val="1005"/>
        </w:numPr>
      </w:pPr>
      <w:r>
        <w:t xml:space="preserve">Na seção Informações gerais da guia Geral, selecione Ativo.</w:t>
      </w:r>
    </w:p>
    <w:p>
      <w:pPr>
        <w:numPr>
          <w:ilvl w:val="0"/>
          <w:numId w:val="1005"/>
        </w:numPr>
      </w:pPr>
      <w:r>
        <w:t xml:space="preserve">Na guia Conexão de origem, siga o conjunto de etapas abaixo com base no tipo de transporte.</w:t>
      </w:r>
    </w:p>
    <w:bookmarkStart w:id="29" w:name="TipodetransportedoArcherWebServices"/>
    <w:p>
      <w:pPr>
        <w:pStyle w:val="Heading3"/>
      </w:pPr>
      <w:r>
        <w:t xml:space="preserve">Tipo de transporte do Archer Web Services</w:t>
      </w:r>
    </w:p>
    <w:p>
      <w:pPr>
        <w:pStyle w:val="Compact"/>
        <w:numPr>
          <w:ilvl w:val="0"/>
          <w:numId w:val="1007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8"/>
        </w:numPr>
      </w:pPr>
      <w:r>
        <w:t xml:space="preserve">No campo URL, digite seu URL. Seu URL depende se você está usando uma instalação local e onde instalou o Archer ou se está em SaaS:</w:t>
      </w:r>
    </w:p>
    <w:p>
      <w:pPr>
        <w:numPr>
          <w:ilvl w:val="2"/>
          <w:numId w:val="1009"/>
        </w:numPr>
      </w:pPr>
      <w:r>
        <w:t xml:space="preserve">Se você estiver localmente e tiver instalado o Archer no nível raiz do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</w:p>
    <w:p>
      <w:pPr>
        <w:numPr>
          <w:ilvl w:val="2"/>
          <w:numId w:val="1000"/>
        </w:numPr>
      </w:pPr>
      <w:r>
        <w:t xml:space="preserve">Por exemplo, http://grc.mycompany.com</w:t>
      </w:r>
    </w:p>
    <w:p>
      <w:pPr>
        <w:numPr>
          <w:ilvl w:val="2"/>
          <w:numId w:val="1009"/>
        </w:numPr>
      </w:pPr>
      <w:r>
        <w:t xml:space="preserve">Se você estiver localmente e tiver instalado o Archer como uma sub-rede no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</w:p>
    <w:p>
      <w:pPr>
        <w:numPr>
          <w:ilvl w:val="2"/>
          <w:numId w:val="1000"/>
        </w:numPr>
      </w:pPr>
      <w:r>
        <w:t xml:space="preserve">Por exemplo, http://grc.mycompany.com/Archer</w:t>
      </w:r>
    </w:p>
    <w:p>
      <w:pPr>
        <w:numPr>
          <w:ilvl w:val="2"/>
          <w:numId w:val="1009"/>
        </w:numPr>
      </w:pPr>
      <w:r>
        <w:t xml:space="preserve">Se você estiver usando SaaS, seu URL deverá ser:</w:t>
      </w:r>
      <w:r>
        <w:t xml:space="preserve"> </w:t>
      </w:r>
      <w:r>
        <w:rPr>
          <w:i/>
          <w:iCs/>
        </w:rPr>
        <w:t xml:space="preserve">SeuURLSaaS</w:t>
      </w:r>
      <w:r>
        <w:t xml:space="preserve">/archerirm.</w:t>
      </w:r>
      <w:r>
        <w:rPr>
          <w:i/>
          <w:iCs/>
        </w:rPr>
        <w:t xml:space="preserve">região</w:t>
      </w:r>
    </w:p>
    <w:p>
      <w:pPr>
        <w:numPr>
          <w:ilvl w:val="2"/>
          <w:numId w:val="1000"/>
        </w:numPr>
      </w:pPr>
      <w:r>
        <w:t xml:space="preserve">Por exemplo, http://mycompany.archerirm.us</w:t>
      </w:r>
    </w:p>
    <w:p>
      <w:pPr>
        <w:numPr>
          <w:ilvl w:val="1"/>
          <w:numId w:val="1008"/>
        </w:numPr>
      </w:pPr>
      <w:r>
        <w:t xml:space="preserve">Especifique se 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usa autenticação anônima ou Autenticação do Windows.</w:t>
      </w:r>
    </w:p>
    <w:p>
      <w:pPr>
        <w:pStyle w:val="Compact"/>
        <w:numPr>
          <w:ilvl w:val="1"/>
          <w:numId w:val="1008"/>
        </w:numPr>
      </w:pPr>
      <w:r>
        <w:t xml:space="preserve">Nos campos Nome de usuário e Senha, insira as credenciais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7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10"/>
        </w:numPr>
      </w:pPr>
      <w:r>
        <w:t xml:space="preserve">Selecione um tipo de pesquisa e siga um destes procedimentos:</w:t>
      </w:r>
    </w:p>
    <w:p>
      <w:pPr>
        <w:numPr>
          <w:ilvl w:val="2"/>
          <w:numId w:val="1011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2"/>
          <w:numId w:val="1011"/>
        </w:numPr>
      </w:pPr>
      <w:r>
        <w:t xml:space="preserve">Selecione Usar Autenticação do Windows. O logon único deve ser configurado na instância de origem para usar esta opção.</w:t>
      </w:r>
    </w:p>
    <w:p>
      <w:pPr>
        <w:pStyle w:val="Compact"/>
        <w:numPr>
          <w:ilvl w:val="1"/>
          <w:numId w:val="1010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numPr>
          <w:ilvl w:val="0"/>
          <w:numId w:val="1007"/>
        </w:numPr>
      </w:pPr>
      <w:r>
        <w:t xml:space="preserve">Clique na guia Mapa de dados e depois clique nas guias Mapa de campo e Definições de campo-chave.</w:t>
      </w:r>
    </w:p>
    <w:p>
      <w:pPr>
        <w:numPr>
          <w:ilvl w:val="0"/>
          <w:numId w:val="1000"/>
        </w:numPr>
      </w:pPr>
      <w:r>
        <w:t xml:space="preserve">O feed de dados pode ser associado a objetos e campos-chave em aplicativos que não estão licenciados. O clique nas guias Mapa de campo e Definições de campo-chave permite que o sistema resolva esses mapeamentos.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2"/>
        </w:numPr>
      </w:pPr>
      <w:r>
        <w:t xml:space="preserve">Para terminar de configurar o feed mais tarde, clique em Salvar ou Salvar e fechar.</w:t>
      </w:r>
    </w:p>
    <w:bookmarkEnd w:id="29"/>
    <w:bookmarkEnd w:id="30"/>
    <w:bookmarkStart w:id="34" w:name="Tarefa2Agendarumfeeddedados"/>
    <w:p>
      <w:pPr>
        <w:pStyle w:val="Heading2"/>
      </w:pPr>
      <w:r>
        <w:t xml:space="preserve">Tarefa 2: Agendar um feed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31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31"/>
    <w:bookmarkStart w:id="32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A Archer recomenda agendar no máximo 10 feeds de dados para execução por vez.</w:t>
      </w:r>
    </w:p>
    <w:bookmarkEnd w:id="32"/>
    <w:bookmarkStart w:id="33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3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3"/>
        </w:numPr>
      </w:pPr>
      <w:r>
        <w:t xml:space="preserve">Siga um destes procedimentos para agendar seu feed de dados.</w:t>
      </w:r>
    </w:p>
    <w:p>
      <w:pPr>
        <w:numPr>
          <w:ilvl w:val="1"/>
          <w:numId w:val="1014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4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4"/>
        </w:numPr>
      </w:pPr>
      <w:r>
        <w:t xml:space="preserve">Execute agora.</w:t>
      </w:r>
    </w:p>
    <w:p>
      <w:pPr>
        <w:numPr>
          <w:ilvl w:val="0"/>
          <w:numId w:val="1013"/>
        </w:numPr>
      </w:pPr>
      <w:r>
        <w:t xml:space="preserve">Para salvar o feed de dados, clique em Salvar ou Salvar e fechar.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eorm_kim_packag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eorm_kim_packag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2025-03-06T14:41:33Z</dcterms:created>
  <dcterms:modified xsi:type="dcterms:W3CDTF">2025-03-06T14:41:33Z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