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461cc7ebaed64b01ace47aaca462752d0bd68f1"/>
    <w:p>
      <w:pPr>
        <w:pStyle w:val="Heading1"/>
      </w:pPr>
      <w:bookmarkStart w:id="20" w:name="aanchor0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Risk Assessment Management 2024.06</w:t>
      </w:r>
    </w:p>
    <w:p>
      <w:pPr>
        <w:pStyle w:val="FirstParagraph"/>
      </w:pPr>
      <w:r>
        <w:t xml:space="preserve">O Risk Assessment Management do</w:t>
      </w:r>
      <w:r>
        <w:t xml:space="preserve"> </w:t>
      </w:r>
      <w:r>
        <w:t xml:space="preserve">Archer</w:t>
      </w:r>
      <w:r>
        <w:t xml:space="preserve"> </w:t>
      </w:r>
      <w:r>
        <w:t xml:space="preserve">permite que você envolva as equipes por meio de avaliações de risco dos projetos pretendidos.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f87c47fa9820dbcdf761500844ef21f57c39ce">
        <w:r>
          <w:rPr>
            <w:rStyle w:val="Hyperlink"/>
          </w:rPr>
          <w:t xml:space="preserve">Benefícios de usar o Risk Assessment Management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c1b36133246beeff30eac4861a25df3734e3cb6"/>
    <w:p>
      <w:pPr>
        <w:pStyle w:val="Heading2"/>
      </w:pPr>
      <w:r>
        <w:t xml:space="preserve">Benefícios de usar o Risk Assessment Management</w:t>
      </w:r>
    </w:p>
    <w:p>
      <w:pPr>
        <w:pStyle w:val="FirstParagraph"/>
      </w:pPr>
      <w:r>
        <w:t xml:space="preserve">Os projetos podem incluir avaliações de fraude ou de produtos e serviços novos, processos de negócios, fusões ou aquisições. É possível documentar projetos e criar questionários criados com perguntas personalizadas, derivadas da extensa biblioteca de milhares de perguntas integradas do</w:t>
      </w:r>
      <w:r>
        <w:t xml:space="preserve"> </w:t>
      </w:r>
      <w:r>
        <w:t xml:space="preserve">Archer</w:t>
      </w:r>
      <w:r>
        <w:t xml:space="preserve">. Quando os riscos são considerados muito altos, tratamentos do risco e planos de remediação podem ser documentados e rastreados.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Instalar e configurar o caso de uso</w:t>
        </w:r>
      </w:hyperlink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eorm_bura_design.htm" TargetMode="External" /><Relationship Type="http://schemas.openxmlformats.org/officeDocument/2006/relationships/hyperlink" Id="rId24" Target="eorm_bura_install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eorm_bura_design.htm" TargetMode="External" /><Relationship Type="http://schemas.openxmlformats.org/officeDocument/2006/relationships/hyperlink" Id="rId24" Target="eorm_bura_install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2025-03-06T14:41:40Z</dcterms:created>
  <dcterms:modified xsi:type="dcterms:W3CDTF">2025-03-06T14:41:40Z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