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8e03df776391b48ecd6ad94a31834fc59d5c559"/>
    <w:p>
      <w:pPr>
        <w:pStyle w:val="Heading1"/>
      </w:pPr>
      <w:r>
        <w:t xml:space="preserve">Notas da versão do Risk Assessment Management 2024.06</w:t>
      </w:r>
    </w:p>
    <w:p>
      <w:pPr>
        <w:pStyle w:val="FirstParagraph"/>
      </w:pPr>
      <w:r>
        <w:t xml:space="preserve">O caso de uso Bottom-Up Risk Assessment foi renomeado para Risk Assessment Management. As atualizações da Ajuda estão disponíveis atualmente apenas em inglês.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2025-03-06T14:41:43Z</dcterms:created>
  <dcterms:modified xsi:type="dcterms:W3CDTF">2025-03-06T14:41:43Z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