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X66673678f994ea80e2cdd6ed0806bc407df03b4"/>
    <w:p>
      <w:pPr>
        <w:pStyle w:val="Heading1"/>
      </w:pPr>
      <w:bookmarkStart w:id="20" w:name="aanchor1"/>
      <w:bookmarkEnd w:id="20"/>
      <w:r>
        <w:t xml:space="preserve"> </w:t>
      </w:r>
      <w:r>
        <w:t xml:space="preserve">Design de caso de uso do Risk Assessment Management</w:t>
      </w:r>
    </w:p>
    <w:p>
      <w:pPr>
        <w:pStyle w:val="FirstParagraph"/>
      </w:pPr>
      <w:r>
        <w:t xml:space="preserve">Este tópico explica o design de caso de uso do Risk Assessment Management.</w:t>
      </w:r>
    </w:p>
    <w:p>
      <w:pPr>
        <w:pStyle w:val="BodyText"/>
      </w:pPr>
      <w:r>
        <w:t xml:space="preserve">Nesta página</w:t>
      </w:r>
    </w:p>
    <w:p>
      <w:pPr>
        <w:pStyle w:val="Compact"/>
        <w:numPr>
          <w:ilvl w:val="0"/>
          <w:numId w:val="1001"/>
        </w:numPr>
      </w:pPr>
      <w:hyperlink w:anchor="Diagramadaarquitetura">
        <w:r>
          <w:rPr>
            <w:rStyle w:val="Hyperlink"/>
          </w:rPr>
          <w:t xml:space="preserve">Diagrama da arquitetura</w:t>
        </w:r>
      </w:hyperlink>
    </w:p>
    <w:p>
      <w:pPr>
        <w:pStyle w:val="Compact"/>
        <w:numPr>
          <w:ilvl w:val="0"/>
          <w:numId w:val="1001"/>
        </w:numPr>
      </w:pPr>
      <w:hyperlink w:anchor="Aplicativosequestion%C3%A1rios">
        <w:r>
          <w:rPr>
            <w:rStyle w:val="Hyperlink"/>
          </w:rPr>
          <w:t xml:space="preserve">Aplicativos e questionários</w:t>
        </w:r>
      </w:hyperlink>
    </w:p>
    <w:p>
      <w:pPr>
        <w:pStyle w:val="Compact"/>
        <w:numPr>
          <w:ilvl w:val="0"/>
          <w:numId w:val="1001"/>
        </w:numPr>
      </w:pPr>
      <w:hyperlink w:anchor="Xa9bdac9233b6c432b99b795538546de4bb4a338">
        <w:r>
          <w:rPr>
            <w:rStyle w:val="Hyperlink"/>
          </w:rPr>
          <w:t xml:space="preserve">Funções de acesso e permissões de registro</w:t>
        </w:r>
      </w:hyperlink>
    </w:p>
    <w:p>
      <w:pPr>
        <w:pStyle w:val="Compact"/>
        <w:numPr>
          <w:ilvl w:val="0"/>
          <w:numId w:val="1001"/>
        </w:numPr>
      </w:pPr>
      <w:hyperlink w:anchor="Pain%C3%A9isdecontrole">
        <w:r>
          <w:rPr>
            <w:rStyle w:val="Hyperlink"/>
          </w:rPr>
          <w:t xml:space="preserve">Painéis de controle</w:t>
        </w:r>
      </w:hyperlink>
    </w:p>
    <w:p>
      <w:pPr>
        <w:pStyle w:val="Compact"/>
        <w:numPr>
          <w:ilvl w:val="0"/>
          <w:numId w:val="1001"/>
        </w:numPr>
      </w:pPr>
    </w:p>
    <w:p>
      <w:pPr>
        <w:pStyle w:val="Compact"/>
        <w:numPr>
          <w:ilvl w:val="1"/>
          <w:numId w:val="1002"/>
        </w:numPr>
      </w:pPr>
      <w:hyperlink w:anchor="Gerenciamentoexecutivo">
        <w:r>
          <w:rPr>
            <w:rStyle w:val="Hyperlink"/>
          </w:rPr>
          <w:t xml:space="preserve">Gerenciamento executivo</w:t>
        </w:r>
      </w:hyperlink>
    </w:p>
    <w:p>
      <w:pPr>
        <w:pStyle w:val="Compact"/>
        <w:numPr>
          <w:ilvl w:val="1"/>
          <w:numId w:val="1002"/>
        </w:numPr>
      </w:pPr>
      <w:hyperlink w:anchor="Gerentedeunidadedeneg%C3%B3cios">
        <w:r>
          <w:rPr>
            <w:rStyle w:val="Hyperlink"/>
          </w:rPr>
          <w:t xml:space="preserve">Gerente de unidade de negócios</w:t>
        </w:r>
      </w:hyperlink>
    </w:p>
    <w:p>
      <w:pPr>
        <w:pStyle w:val="Compact"/>
        <w:numPr>
          <w:ilvl w:val="1"/>
          <w:numId w:val="1002"/>
        </w:numPr>
      </w:pPr>
      <w:hyperlink w:anchor="Gerentederiscos">
        <w:r>
          <w:rPr>
            <w:rStyle w:val="Hyperlink"/>
          </w:rPr>
          <w:t xml:space="preserve">Gerente de riscos</w:t>
        </w:r>
      </w:hyperlink>
    </w:p>
    <w:bookmarkStart w:id="25" w:name="Diagramadaarquitetura"/>
    <w:p>
      <w:pPr>
        <w:pStyle w:val="Heading2"/>
      </w:pPr>
      <w:r>
        <w:t xml:space="preserve">Diagrama da arquitetura</w:t>
      </w:r>
    </w:p>
    <w:p>
      <w:pPr>
        <w:pStyle w:val="FirstParagraph"/>
      </w:pPr>
      <w:r>
        <w:t xml:space="preserve">O diagrama a seguir mostra as relações entre os aplicativos no uso de caso do Risk Assessment Management.</w:t>
      </w:r>
    </w:p>
    <w:p>
      <w:pPr>
        <w:pStyle w:val="BodyText"/>
      </w:pPr>
      <w:r>
        <w:t xml:space="preserve">Faça download do arquivo de origem do diagrama aqui:</w:t>
      </w:r>
      <w:r>
        <w:t xml:space="preserve"> </w:t>
      </w:r>
      <w:hyperlink r:id="rId21">
        <w:r>
          <w:rPr>
            <w:rStyle w:val="Hyperlink"/>
          </w:rPr>
          <w:t xml:space="preserve">Diagrama da arquitetura do Risk Assessment Management</w:t>
        </w:r>
      </w:hyperlink>
    </w:p>
    <w:p>
      <w:pPr>
        <w:pStyle w:val="BodyText"/>
      </w:pPr>
      <w:r>
        <w:drawing>
          <wp:inline>
            <wp:extent cx="5334000" cy="7736669"/>
            <wp:effectExtent b="0" l="0" r="0" t="0"/>
            <wp:docPr descr="Arquitetura do caso de uso do Risk Catalog" title="Arquitetura do caso de uso do Risk Catalog" id="23" name="Picture"/>
            <a:graphic>
              <a:graphicData uri="http://schemas.openxmlformats.org/drawingml/2006/picture">
                <pic:pic>
                  <pic:nvPicPr>
                    <pic:cNvPr descr="C:/Users/samue/WebScrapper/HelpArcher-to-pdf/images/9c6f8232a21fc3a8c133629130a784a0.png" id="24" name="Picture"/>
                    <pic:cNvPicPr>
                      <a:picLocks noChangeArrowheads="1" noChangeAspect="1"/>
                    </pic:cNvPicPr>
                  </pic:nvPicPr>
                  <pic:blipFill>
                    <a:blip r:embed="rId22"/>
                    <a:stretch>
                      <a:fillRect/>
                    </a:stretch>
                  </pic:blipFill>
                  <pic:spPr bwMode="auto">
                    <a:xfrm>
                      <a:off x="0" y="0"/>
                      <a:ext cx="5334000" cy="7736669"/>
                    </a:xfrm>
                    <a:prstGeom prst="rect">
                      <a:avLst/>
                    </a:prstGeom>
                    <a:noFill/>
                    <a:ln w="9525">
                      <a:noFill/>
                      <a:headEnd/>
                      <a:tailEnd/>
                    </a:ln>
                  </pic:spPr>
                </pic:pic>
              </a:graphicData>
            </a:graphic>
          </wp:inline>
        </w:drawing>
      </w:r>
    </w:p>
    <w:p>
      <w:pPr>
        <w:pStyle w:val="BodyText"/>
      </w:pPr>
      <w:r>
        <w:rPr>
          <w:b/>
          <w:bCs/>
        </w:rPr>
        <w:t xml:space="preserve">Observação:</w:t>
      </w:r>
      <w:r>
        <w:t xml:space="preserve"> </w:t>
      </w:r>
      <w:r>
        <w:t xml:space="preserve">Feeds que criam medidas de uma biblioteca de medidas (seja processo de negócios ou riscos) não criam registros de declaração de riscos associados aos registros de declaração de riscos. Os objetos do catálogo de ativos de negócios e suas avaliações associadas não entram automaticamente no escopo do projeto de risco e devem ter o escopo atribuído manualmente.</w:t>
      </w:r>
    </w:p>
    <w:bookmarkEnd w:id="25"/>
    <w:bookmarkStart w:id="26" w:name="Aplicativosequestionários"/>
    <w:p>
      <w:pPr>
        <w:pStyle w:val="Heading2"/>
      </w:pPr>
      <w:r>
        <w:t xml:space="preserve">Aplicativos e questionários</w:t>
      </w:r>
    </w:p>
    <w:p>
      <w:pPr>
        <w:pStyle w:val="TableCaption"/>
      </w:pPr>
      <w:r>
        <w:t xml:space="preserve">A tabela a seguir descreve os aplicativos e questionários do caso de uso.</w:t>
      </w:r>
    </w:p>
    <w:tbl>
      <w:tblPr>
        <w:tblStyle w:val="Table"/>
        <w:tblW w:type="auto" w:w="0"/>
        <w:tblLook w:firstRow="1" w:lastRow="0" w:firstColumn="0" w:lastColumn="0" w:noHBand="0" w:noVBand="0" w:val="0020"/>
        <w:tblCaption w:val="A tabela a seguir descreve os aplicativos e questionários do caso de uso."/>
      </w:tblPr>
      <w:tblGrid>
        <w:gridCol w:w="3960"/>
        <w:gridCol w:w="3960"/>
      </w:tblGrid>
      <w:tr>
        <w:trPr>
          <w:tblHeader w:val="on"/>
        </w:trPr>
        <w:tc>
          <w:tcPr/>
          <w:p>
            <w:pPr>
              <w:pStyle w:val="BodyText"/>
            </w:pPr>
            <w:r>
              <w:t xml:space="preserve">Aplicativo/questionário</w:t>
            </w:r>
          </w:p>
        </w:tc>
        <w:tc>
          <w:tcPr/>
          <w:p>
            <w:pPr>
              <w:pStyle w:val="BodyText"/>
            </w:pPr>
            <w:r>
              <w:t xml:space="preserve">Descrição</w:t>
            </w:r>
          </w:p>
        </w:tc>
      </w:tr>
      <w:tr>
        <w:tc>
          <w:tcPr/>
          <w:p>
            <w:pPr>
              <w:pStyle w:val="BodyText"/>
            </w:pPr>
            <w:r>
              <w:t xml:space="preserve">Projeto de risco</w:t>
            </w:r>
          </w:p>
        </w:tc>
        <w:tc>
          <w:tcPr/>
          <w:p>
            <w:pPr>
              <w:pStyle w:val="BodyText"/>
            </w:pPr>
            <w:r>
              <w:t xml:space="preserve">O aplicativo Projeto de risco funciona como um repositório no qual você pode executar avaliações de riscos direcionadas de baixo para cima em vários domínios, como um novo produto e serviço, um novo empreendimento ou processo de negócios ou fusões e aquisições.</w:t>
            </w:r>
          </w:p>
          <w:p>
            <w:pPr>
              <w:pStyle w:val="BodyText"/>
            </w:pPr>
            <w:r>
              <w:t xml:space="preserve">Com o aplicativo Projeto de risco, é possível:</w:t>
            </w:r>
          </w:p>
          <w:p>
            <w:pPr>
              <w:pStyle w:val="Compact"/>
              <w:numPr>
                <w:ilvl w:val="0"/>
                <w:numId w:val="1003"/>
              </w:numPr>
            </w:pPr>
            <w:r>
              <w:t xml:space="preserve">Gerenciar o processo de execução de avaliações de riscos desde a definição do escopo até o tratamento.</w:t>
            </w:r>
          </w:p>
          <w:p>
            <w:pPr>
              <w:pStyle w:val="Compact"/>
              <w:numPr>
                <w:ilvl w:val="0"/>
                <w:numId w:val="1003"/>
              </w:numPr>
            </w:pPr>
            <w:r>
              <w:t xml:space="preserve">Usar várias opções de definição de escopo para filtrar a avaliação de riscos em vários domínios.</w:t>
            </w:r>
          </w:p>
          <w:p>
            <w:pPr>
              <w:pStyle w:val="Compact"/>
              <w:numPr>
                <w:ilvl w:val="0"/>
                <w:numId w:val="1003"/>
              </w:numPr>
            </w:pPr>
            <w:r>
              <w:t xml:space="preserve">Integrar as estruturas COSO ERM e ISO 31000 aos elementos NIST 800-30 e ISO 27005.</w:t>
            </w:r>
          </w:p>
          <w:p>
            <w:pPr>
              <w:pStyle w:val="Compact"/>
              <w:numPr>
                <w:ilvl w:val="0"/>
                <w:numId w:val="1003"/>
              </w:numPr>
            </w:pPr>
            <w:r>
              <w:t xml:space="preserve">Dar suporte à contribuição individual (um participante) ou a várias contribuições (vários participantes) para fins de identificação de riscos.</w:t>
            </w:r>
          </w:p>
          <w:p>
            <w:pPr>
              <w:pStyle w:val="Compact"/>
              <w:numPr>
                <w:ilvl w:val="0"/>
                <w:numId w:val="1003"/>
              </w:numPr>
            </w:pPr>
            <w:r>
              <w:t xml:space="preserve">Gerenciar projetos relacionados a riscos por meio de um ciclo de vida de:</w:t>
            </w:r>
          </w:p>
          <w:p>
            <w:pPr>
              <w:pStyle w:val="Compact"/>
              <w:numPr>
                <w:ilvl w:val="1"/>
                <w:numId w:val="1004"/>
              </w:numPr>
            </w:pPr>
            <w:r>
              <w:t xml:space="preserve">Definição de equipe e escopo do projeto.</w:t>
            </w:r>
          </w:p>
          <w:p>
            <w:pPr>
              <w:pStyle w:val="Compact"/>
              <w:numPr>
                <w:ilvl w:val="1"/>
                <w:numId w:val="1004"/>
              </w:numPr>
            </w:pPr>
            <w:r>
              <w:t xml:space="preserve">Suporte a avaliação de riscos, pontuação agregada e várias avaliações.</w:t>
            </w:r>
          </w:p>
          <w:p>
            <w:pPr>
              <w:pStyle w:val="Compact"/>
              <w:numPr>
                <w:ilvl w:val="1"/>
                <w:numId w:val="1004"/>
              </w:numPr>
            </w:pPr>
            <w:r>
              <w:t xml:space="preserve">Análise e avaliação de riscos.</w:t>
            </w:r>
          </w:p>
          <w:p>
            <w:pPr>
              <w:pStyle w:val="Compact"/>
              <w:numPr>
                <w:ilvl w:val="1"/>
                <w:numId w:val="1004"/>
              </w:numPr>
            </w:pPr>
            <w:r>
              <w:t xml:space="preserve">Tratamento do risco, inclusive planos de remediação e solicitações de exceção.</w:t>
            </w:r>
          </w:p>
        </w:tc>
      </w:tr>
      <w:tr>
        <w:tc>
          <w:tcPr/>
          <w:p>
            <w:pPr>
              <w:pStyle w:val="FirstParagraph"/>
            </w:pPr>
            <w:r>
              <w:t xml:space="preserve">Processos de negócios</w:t>
            </w:r>
          </w:p>
        </w:tc>
        <w:tc>
          <w:tcPr/>
          <w:p>
            <w:pPr>
              <w:pStyle w:val="BodyText"/>
            </w:pPr>
            <w:r>
              <w:t xml:space="preserve">O aplicativo Processos de negócio captura os dados básicos de um determinado processo. É possível atribuir um processo a uma unidade de negócios específica ou compartilhá-lo entre várias unidades de negócios. Um processo de negócios também pode ser referenciado para um ou vários produtos ou serviços. O aplicativo permite rastrear a equipe dos processos de negócios, a relevância, o RTO (Recovery Time Objective, objetivo de tempo de recuperação) e a categoria de ITIL, e associar tudo isso a outros aspectos da infraestrutura corporativa.</w:t>
            </w:r>
          </w:p>
          <w:p>
            <w:pPr>
              <w:pStyle w:val="BodyText"/>
            </w:pPr>
            <w:r>
              <w:rPr>
                <w:b/>
                <w:bCs/>
              </w:rPr>
              <w:t xml:space="preserve">Observação:</w:t>
            </w:r>
            <w:r>
              <w:t xml:space="preserve"> </w:t>
            </w:r>
            <w:r>
              <w:t xml:space="preserve">o aplicativo Processos de negócios está incluído no pacote Catálogo corporativo.</w:t>
            </w:r>
          </w:p>
        </w:tc>
      </w:tr>
      <w:tr>
        <w:tc>
          <w:tcPr/>
          <w:p>
            <w:pPr>
              <w:pStyle w:val="BodyText"/>
            </w:pPr>
            <w:r>
              <w:t xml:space="preserve">Instalações</w:t>
            </w:r>
          </w:p>
        </w:tc>
        <w:tc>
          <w:tcPr/>
          <w:p>
            <w:pPr>
              <w:pStyle w:val="BodyText"/>
            </w:pPr>
            <w:r>
              <w:t xml:space="preserve">O aplicativo Instalações mantém uma lista de todas as instalações da organização, como data centers e filiais. Você pode documentar e analisar todas as informações associadas a uma instalação, como pessoal de contato, informações sobre o local e tecnologias associadas ao local.</w:t>
            </w:r>
          </w:p>
          <w:p>
            <w:pPr>
              <w:pStyle w:val="BodyText"/>
            </w:pPr>
            <w:r>
              <w:rPr>
                <w:b/>
                <w:bCs/>
              </w:rPr>
              <w:t xml:space="preserve">Observação:</w:t>
            </w:r>
            <w:r>
              <w:t xml:space="preserve"> </w:t>
            </w:r>
            <w:r>
              <w:t xml:space="preserve">o aplicativo de Instalações está incluído no pacote Catálogo corporativo.</w:t>
            </w:r>
          </w:p>
        </w:tc>
      </w:tr>
      <w:tr>
        <w:tc>
          <w:tcPr/>
          <w:p>
            <w:pPr>
              <w:pStyle w:val="BodyText"/>
            </w:pPr>
            <w:r>
              <w:t xml:space="preserve">Produtos e serviços</w:t>
            </w:r>
          </w:p>
        </w:tc>
        <w:tc>
          <w:tcPr/>
          <w:p>
            <w:pPr>
              <w:pStyle w:val="BodyText"/>
            </w:pPr>
            <w:r>
              <w:t xml:space="preserve">O aplicativo Produtos e serviços mantém todos os produtos e serviços oferecidos em uma organização. Por exemplo, uma empresa de serviços financeiros oferece uma variedade de produtos e serviços, como serviços bancários, de corretagem e de empréstimo.</w:t>
            </w:r>
          </w:p>
          <w:p>
            <w:pPr>
              <w:pStyle w:val="BodyText"/>
            </w:pPr>
            <w:r>
              <w:rPr>
                <w:b/>
                <w:bCs/>
              </w:rPr>
              <w:t xml:space="preserve">Observação:</w:t>
            </w:r>
            <w:r>
              <w:t xml:space="preserve"> </w:t>
            </w:r>
            <w:r>
              <w:t xml:space="preserve">o aplicativo Produtos e serviços está incluído no pacote Catálogo corporativo.</w:t>
            </w:r>
          </w:p>
        </w:tc>
      </w:tr>
      <w:tr>
        <w:tc>
          <w:tcPr/>
          <w:p>
            <w:pPr>
              <w:pStyle w:val="BodyText"/>
            </w:pPr>
            <w:r>
              <w:t xml:space="preserve">Biblioteca de perguntas</w:t>
            </w:r>
          </w:p>
        </w:tc>
        <w:tc>
          <w:tcPr/>
          <w:p>
            <w:pPr>
              <w:pStyle w:val="BodyText"/>
            </w:pPr>
            <w:r>
              <w:t xml:space="preserve">A Biblioteca de perguntas é um aplicativo que armazena perguntas de avaliação que você pode consultar e copiar em um questionário. Cada pergunta é armazenada em um registro individual, e cada registro contém informações inclusive o texto de pergunta e resposta, bem como informações necessárias para exibir e pontuar sua pergunta. Dependendo da solução que você licenciou, a Biblioteca de perguntas contém um grande conjunto de perguntas previamente criadas por padrão. Além disso, você pode adicionar novas perguntas e armazená-las na Biblioteca de perguntas.</w:t>
            </w:r>
          </w:p>
        </w:tc>
      </w:tr>
    </w:tbl>
    <w:bookmarkEnd w:id="26"/>
    <w:bookmarkStart w:id="27" w:name="Funçõesdeacessoepermissõesderegistro"/>
    <w:p>
      <w:pPr>
        <w:pStyle w:val="Heading2"/>
      </w:pPr>
      <w:r>
        <w:t xml:space="preserve">Funções de acesso e permissões de registro</w:t>
      </w:r>
    </w:p>
    <w:p>
      <w:pPr>
        <w:pStyle w:val="TableCaption"/>
      </w:pPr>
      <w:r>
        <w:t xml:space="preserve">A tabela a seguir descreve as funções de acesso de casos de uso.</w:t>
      </w:r>
    </w:p>
    <w:tbl>
      <w:tblPr>
        <w:tblStyle w:val="Table"/>
        <w:tblW w:type="auto" w:w="0"/>
        <w:tblLook w:firstRow="1" w:lastRow="0" w:firstColumn="0" w:lastColumn="0" w:noHBand="0" w:noVBand="0" w:val="0020"/>
        <w:tblCaption w:val="A tabela a seguir descreve as funções de acesso de casos de uso."/>
      </w:tblPr>
      <w:tblGrid>
        <w:gridCol w:w="3960"/>
        <w:gridCol w:w="3960"/>
      </w:tblGrid>
      <w:tr>
        <w:trPr>
          <w:tblHeader w:val="on"/>
        </w:trPr>
        <w:tc>
          <w:tcPr/>
          <w:p>
            <w:pPr>
              <w:pStyle w:val="BodyText"/>
            </w:pPr>
            <w:r>
              <w:t xml:space="preserve">Função de acesso</w:t>
            </w:r>
          </w:p>
        </w:tc>
        <w:tc>
          <w:tcPr/>
          <w:p>
            <w:pPr>
              <w:pStyle w:val="BodyText"/>
            </w:pPr>
            <w:r>
              <w:t xml:space="preserve">Descrição</w:t>
            </w:r>
          </w:p>
        </w:tc>
      </w:tr>
      <w:tr>
        <w:tc>
          <w:tcPr/>
          <w:p>
            <w:pPr>
              <w:pStyle w:val="BodyText"/>
            </w:pPr>
            <w:r>
              <w:t xml:space="preserve">RM: Administrador</w:t>
            </w:r>
          </w:p>
        </w:tc>
        <w:tc>
          <w:tcPr/>
          <w:p>
            <w:pPr>
              <w:pStyle w:val="BodyText"/>
            </w:pPr>
            <w:r>
              <w:t xml:space="preserve">Esta função serve como o administrador do caso de uso. (Gerente de riscos, gerente de riscos especialista)</w:t>
            </w:r>
          </w:p>
        </w:tc>
      </w:tr>
      <w:tr>
        <w:tc>
          <w:tcPr/>
          <w:p>
            <w:pPr>
              <w:pStyle w:val="BodyText"/>
            </w:pPr>
            <w:r>
              <w:t xml:space="preserve">RM: Executivos</w:t>
            </w:r>
          </w:p>
        </w:tc>
        <w:tc>
          <w:tcPr/>
          <w:p>
            <w:pPr>
              <w:pStyle w:val="BodyText"/>
            </w:pPr>
            <w:r>
              <w:t xml:space="preserve">Esta função fornece os níveis de acesso adequados no caso de uso à equipe executiva (CFO, CEO, controlador).</w:t>
            </w:r>
          </w:p>
        </w:tc>
      </w:tr>
      <w:tr>
        <w:tc>
          <w:tcPr/>
          <w:p>
            <w:pPr>
              <w:pStyle w:val="BodyText"/>
            </w:pPr>
            <w:r>
              <w:t xml:space="preserve">RM: Gerente</w:t>
            </w:r>
          </w:p>
        </w:tc>
        <w:tc>
          <w:tcPr/>
          <w:p>
            <w:pPr>
              <w:pStyle w:val="BodyText"/>
            </w:pPr>
            <w:r>
              <w:t xml:space="preserve">Esta função fornece à gerência acesso para criação, leitura e atualização no caso de uso.</w:t>
            </w:r>
          </w:p>
        </w:tc>
      </w:tr>
      <w:tr>
        <w:tc>
          <w:tcPr/>
          <w:p>
            <w:pPr>
              <w:pStyle w:val="BodyText"/>
            </w:pPr>
            <w:r>
              <w:t xml:space="preserve">RM: Responsável</w:t>
            </w:r>
          </w:p>
        </w:tc>
        <w:tc>
          <w:tcPr/>
          <w:p>
            <w:pPr>
              <w:pStyle w:val="BodyText"/>
            </w:pPr>
            <w:r>
              <w:t xml:space="preserve">Esta função fornece aos responsáveis pelos processos de negócios acesso para criação, leitura e atualização no caso de uso.</w:t>
            </w:r>
          </w:p>
        </w:tc>
      </w:tr>
      <w:tr>
        <w:tc>
          <w:tcPr/>
          <w:p>
            <w:pPr>
              <w:pStyle w:val="BodyText"/>
            </w:pPr>
            <w:r>
              <w:t xml:space="preserve">RM: Somente leitura</w:t>
            </w:r>
          </w:p>
        </w:tc>
        <w:tc>
          <w:tcPr/>
          <w:p>
            <w:pPr>
              <w:pStyle w:val="BodyText"/>
            </w:pPr>
            <w:r>
              <w:t xml:space="preserve">Esta função fornece acesso somente leitura para o caso de uso.</w:t>
            </w:r>
          </w:p>
        </w:tc>
      </w:tr>
    </w:tbl>
    <w:p>
      <w:pPr>
        <w:pStyle w:val="BodyText"/>
      </w:pPr>
      <w:r>
        <w:rPr>
          <w:b/>
          <w:bCs/>
        </w:rPr>
        <w:t xml:space="preserve">Observação:</w:t>
      </w:r>
      <w:r>
        <w:t xml:space="preserve"> </w:t>
      </w:r>
      <w:r>
        <w:t xml:space="preserve">para conhecer os direitos de acesso detalhados no nível da página, consulte o</w:t>
      </w:r>
      <w:r>
        <w:t xml:space="preserve"> </w:t>
      </w:r>
      <w:r>
        <w:rPr>
          <w:i/>
          <w:iCs/>
        </w:rPr>
        <w:t xml:space="preserve">Dicionário de dados</w:t>
      </w:r>
      <w:r>
        <w:t xml:space="preserve">.</w:t>
      </w:r>
    </w:p>
    <w:p>
      <w:pPr>
        <w:pStyle w:val="BodyText"/>
      </w:pPr>
      <w:r>
        <w:t xml:space="preserve">Para obter a lista completa dos campos de permissão de registro do aplicativo, inclusive quais campos de usuários/grupos preenchem os campos e de onde os campos herdam as permissões, consulte o</w:t>
      </w:r>
      <w:r>
        <w:t xml:space="preserve"> </w:t>
      </w:r>
      <w:r>
        <w:rPr>
          <w:i/>
          <w:iCs/>
        </w:rPr>
        <w:t xml:space="preserve">Dicionário de dados</w:t>
      </w:r>
      <w:r>
        <w:t xml:space="preserve">.</w:t>
      </w:r>
    </w:p>
    <w:bookmarkEnd w:id="27"/>
    <w:bookmarkStart w:id="31" w:name="Painéisdecontrole"/>
    <w:p>
      <w:pPr>
        <w:pStyle w:val="Heading2"/>
      </w:pPr>
      <w:r>
        <w:t xml:space="preserve">Painéis de controle</w:t>
      </w:r>
    </w:p>
    <w:p>
      <w:pPr>
        <w:pStyle w:val="TableCaption"/>
      </w:pPr>
      <w:r>
        <w:t xml:space="preserve">A tabela a seguir descreve os painéis de controle do caso de uso.</w:t>
      </w:r>
    </w:p>
    <w:tbl>
      <w:tblPr>
        <w:tblStyle w:val="Table"/>
        <w:tblW w:type="auto" w:w="0"/>
        <w:tblLook w:firstRow="1" w:lastRow="0" w:firstColumn="0" w:lastColumn="0" w:noHBand="0" w:noVBand="0" w:val="0020"/>
        <w:tblCaption w:val="A tabela a seguir descreve os painéis de controle do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Gerenciamento executivo</w:t>
            </w:r>
          </w:p>
        </w:tc>
        <w:tc>
          <w:tcPr/>
          <w:p>
            <w:pPr>
              <w:pStyle w:val="BodyText"/>
            </w:pPr>
            <w:r>
              <w:t xml:space="preserve">Esse painel de controle baseado em persona é usado por controladores, CFOs e CEOs para visualizar riscos da empresa/unidade de negócios, rastrear a exposição a riscos analisar os eventos de perda que exigem aprovação executiva.</w:t>
            </w:r>
          </w:p>
        </w:tc>
      </w:tr>
      <w:tr>
        <w:tc>
          <w:tcPr/>
          <w:p>
            <w:pPr>
              <w:pStyle w:val="BodyText"/>
            </w:pPr>
            <w:r>
              <w:t xml:space="preserve">Gerente de unidade de negócios</w:t>
            </w:r>
          </w:p>
        </w:tc>
        <w:tc>
          <w:tcPr/>
          <w:p>
            <w:pPr>
              <w:pStyle w:val="BodyText"/>
            </w:pPr>
            <w:r>
              <w:t xml:space="preserve">Esse painel de controle baseado em persona é usado por gerentes da unidade de negócios e os coordenadores da unidade de negócios para criar novos eventos de perda e exibir avaliações ativas, eventos de perda não aprovados e eventos de perda que exigem análise ou aprovação executiva.</w:t>
            </w:r>
          </w:p>
        </w:tc>
      </w:tr>
      <w:tr>
        <w:tc>
          <w:tcPr/>
          <w:p>
            <w:pPr>
              <w:pStyle w:val="BodyText"/>
            </w:pPr>
            <w:r>
              <w:t xml:space="preserve">Gerente de riscos</w:t>
            </w:r>
          </w:p>
        </w:tc>
        <w:tc>
          <w:tcPr/>
          <w:p>
            <w:pPr>
              <w:pStyle w:val="BodyText"/>
            </w:pPr>
            <w:r>
              <w:t xml:space="preserve">Esse painel de controle baseado em persona é usado pelos gerentes de riscos e especialistas em riscos para exibir avaliações ativas, eventos de perda aguardando revisão e projetos de risco abertos.</w:t>
            </w:r>
          </w:p>
        </w:tc>
      </w:tr>
    </w:tbl>
    <w:p>
      <w:pPr>
        <w:pStyle w:val="BodyText"/>
      </w:pPr>
      <w:r>
        <w:t xml:space="preserve">As seções a seguir descrevem as limitações de geração de relatórios para cada painel de controle neste caso de uso. Limitações de relatórios nos painéis de controle ocorrem quando os casos de uso relacionados não são licenciados.</w:t>
      </w:r>
    </w:p>
    <w:bookmarkStart w:id="28" w:name="Gerenciamentoexecutivo"/>
    <w:p>
      <w:pPr>
        <w:pStyle w:val="Heading3"/>
      </w:pPr>
      <w:r>
        <w:t xml:space="preserve">Gerenciamento executivo</w:t>
      </w:r>
    </w:p>
    <w:p>
      <w:pPr>
        <w:pStyle w:val="TableCaption"/>
      </w:pPr>
      <w:r>
        <w:t xml:space="preserve">A tabela a seguir descreve as limitações de geração de relatórios do painel de controle Gerenciamento executivo.</w:t>
      </w:r>
    </w:p>
    <w:tbl>
      <w:tblPr>
        <w:tblStyle w:val="Table"/>
        <w:tblW w:type="auto" w:w="0"/>
        <w:tblLook w:firstRow="1" w:lastRow="0" w:firstColumn="0" w:lastColumn="0" w:noHBand="0" w:noVBand="0" w:val="0020"/>
        <w:tblCaption w:val="A tabela a seguir descreve as limitações de geração de relatórios do painel de controle Gerenciamento executivo."/>
      </w:tblPr>
      <w:tblGrid>
        <w:gridCol w:w="3960"/>
        <w:gridCol w:w="3960"/>
      </w:tblGrid>
      <w:tr>
        <w:trPr>
          <w:tblHeader w:val="on"/>
        </w:trPr>
        <w:tc>
          <w:tcPr/>
          <w:p>
            <w:pPr>
              <w:pStyle w:val="BodyText"/>
            </w:pPr>
            <w:r>
              <w:t xml:space="preserve">iView</w:t>
            </w:r>
          </w:p>
        </w:tc>
        <w:tc>
          <w:tcPr/>
          <w:p>
            <w:pPr>
              <w:pStyle w:val="BodyText"/>
            </w:pPr>
            <w:r>
              <w:t xml:space="preserve">Limitações de geração de relatórios de caso de uso</w:t>
            </w:r>
          </w:p>
        </w:tc>
      </w:tr>
      <w:tr>
        <w:tc>
          <w:tcPr/>
          <w:p>
            <w:pPr>
              <w:pStyle w:val="BodyText"/>
            </w:pPr>
            <w:r>
              <w:t xml:space="preserve">Valor de perda bruta reivindicado</w:t>
            </w:r>
          </w:p>
        </w:tc>
        <w:tc>
          <w:tcPr/>
          <w:p>
            <w:pPr>
              <w:pStyle w:val="BodyText"/>
            </w:pPr>
            <w:r>
              <w:t xml:space="preserve">O relatório é inválido.</w:t>
            </w:r>
          </w:p>
        </w:tc>
      </w:tr>
      <w:tr>
        <w:tc>
          <w:tcPr/>
          <w:p>
            <w:pPr>
              <w:pStyle w:val="BodyText"/>
            </w:pPr>
            <w:r>
              <w:t xml:space="preserve">Alto risco</w:t>
            </w:r>
          </w:p>
        </w:tc>
        <w:tc>
          <w:tcPr/>
          <w:p>
            <w:pPr>
              <w:pStyle w:val="BodyText"/>
            </w:pPr>
            <w:r>
              <w:t xml:space="preserve">O relatório é inválido.</w:t>
            </w:r>
          </w:p>
        </w:tc>
      </w:tr>
      <w:tr>
        <w:tc>
          <w:tcPr/>
          <w:p>
            <w:pPr>
              <w:pStyle w:val="BodyText"/>
            </w:pPr>
            <w:r>
              <w:t xml:space="preserve">Avaliação de aprovação de riscos aguardando revisão</w:t>
            </w:r>
          </w:p>
        </w:tc>
        <w:tc>
          <w:tcPr/>
          <w:p>
            <w:pPr>
              <w:pStyle w:val="BodyText"/>
            </w:pPr>
            <w:r>
              <w:t xml:space="preserve">O relatório é inválido.</w:t>
            </w:r>
          </w:p>
        </w:tc>
      </w:tr>
      <w:tr>
        <w:tc>
          <w:tcPr/>
          <w:p>
            <w:pPr>
              <w:pStyle w:val="BodyText"/>
            </w:pPr>
            <w:r>
              <w:t xml:space="preserve">Falha no KRI</w:t>
            </w:r>
          </w:p>
        </w:tc>
        <w:tc>
          <w:tcPr/>
          <w:p>
            <w:pPr>
              <w:pStyle w:val="BodyText"/>
            </w:pPr>
            <w:r>
              <w:t xml:space="preserve">O relatório é inválido.</w:t>
            </w:r>
          </w:p>
        </w:tc>
      </w:tr>
      <w:tr>
        <w:tc>
          <w:tcPr/>
          <w:p>
            <w:pPr>
              <w:pStyle w:val="BodyText"/>
            </w:pPr>
            <w:r>
              <w:t xml:space="preserve">Falha no KCI</w:t>
            </w:r>
          </w:p>
        </w:tc>
        <w:tc>
          <w:tcPr/>
          <w:p>
            <w:pPr>
              <w:pStyle w:val="BodyText"/>
            </w:pPr>
            <w:r>
              <w:t xml:space="preserve">O relatório é inválido.</w:t>
            </w:r>
          </w:p>
        </w:tc>
      </w:tr>
      <w:tr>
        <w:tc>
          <w:tcPr/>
          <w:p>
            <w:pPr>
              <w:pStyle w:val="BodyText"/>
            </w:pPr>
            <w:r>
              <w:t xml:space="preserve">Falha no KPI</w:t>
            </w:r>
          </w:p>
        </w:tc>
        <w:tc>
          <w:tcPr/>
          <w:p>
            <w:pPr>
              <w:pStyle w:val="BodyText"/>
            </w:pPr>
            <w:r>
              <w:t xml:space="preserve">O relatório é inválido.</w:t>
            </w:r>
          </w:p>
        </w:tc>
      </w:tr>
      <w:tr>
        <w:tc>
          <w:tcPr/>
          <w:p>
            <w:pPr>
              <w:pStyle w:val="BodyText"/>
            </w:pPr>
            <w:r>
              <w:t xml:space="preserve">Probabilidade e impacto</w:t>
            </w:r>
          </w:p>
        </w:tc>
        <w:tc>
          <w:tcPr/>
          <w:p>
            <w:pPr>
              <w:pStyle w:val="BodyText"/>
            </w:pPr>
            <w:r>
              <w:t xml:space="preserve">Ambos os relatórios são inválidos.</w:t>
            </w:r>
          </w:p>
        </w:tc>
      </w:tr>
      <w:tr>
        <w:tc>
          <w:tcPr/>
          <w:p>
            <w:pPr>
              <w:pStyle w:val="BodyText"/>
            </w:pPr>
            <w:r>
              <w:t xml:space="preserve">Gerenciamento de métricas de riscos</w:t>
            </w:r>
          </w:p>
        </w:tc>
        <w:tc>
          <w:tcPr/>
          <w:p>
            <w:pPr>
              <w:pStyle w:val="BodyText"/>
            </w:pPr>
            <w:r>
              <w:t xml:space="preserve">Todos os relatórios são inválidos.</w:t>
            </w:r>
          </w:p>
        </w:tc>
      </w:tr>
      <w:tr>
        <w:tc>
          <w:tcPr/>
          <w:p>
            <w:pPr>
              <w:pStyle w:val="BodyText"/>
            </w:pPr>
            <w:r>
              <w:t xml:space="preserve">Eventos de perda</w:t>
            </w:r>
          </w:p>
        </w:tc>
        <w:tc>
          <w:tcPr/>
          <w:p>
            <w:pPr>
              <w:pStyle w:val="BodyText"/>
            </w:pPr>
            <w:r>
              <w:t xml:space="preserve">Todos os relatórios são inválidos.</w:t>
            </w:r>
          </w:p>
        </w:tc>
      </w:tr>
      <w:tr>
        <w:tc>
          <w:tcPr/>
          <w:p>
            <w:pPr>
              <w:pStyle w:val="BodyText"/>
            </w:pPr>
            <w:r>
              <w:t xml:space="preserve">Riscos por unidade de negócios e classificação</w:t>
            </w:r>
          </w:p>
        </w:tc>
        <w:tc>
          <w:tcPr/>
          <w:p>
            <w:pPr>
              <w:pStyle w:val="BodyText"/>
            </w:pPr>
            <w:r>
              <w:t xml:space="preserve">O relatório é inválido.</w:t>
            </w:r>
          </w:p>
        </w:tc>
      </w:tr>
      <w:tr>
        <w:tc>
          <w:tcPr/>
          <w:p>
            <w:pPr>
              <w:pStyle w:val="BodyText"/>
            </w:pPr>
            <w:r>
              <w:t xml:space="preserve">Exposição a riscos</w:t>
            </w:r>
          </w:p>
        </w:tc>
        <w:tc>
          <w:tcPr/>
          <w:p>
            <w:pPr>
              <w:pStyle w:val="BodyText"/>
            </w:pPr>
            <w:r>
              <w:t xml:space="preserve">Todos os relatórios são inválidos.</w:t>
            </w:r>
          </w:p>
        </w:tc>
      </w:tr>
      <w:tr>
        <w:tc>
          <w:tcPr/>
          <w:p>
            <w:pPr>
              <w:pStyle w:val="BodyText"/>
            </w:pPr>
            <w:r>
              <w:t xml:space="preserve">Inventário de riscos e Top-Down Risk Assessment</w:t>
            </w:r>
          </w:p>
        </w:tc>
        <w:tc>
          <w:tcPr/>
          <w:p>
            <w:pPr>
              <w:pStyle w:val="BodyText"/>
            </w:pPr>
            <w:r>
              <w:t xml:space="preserve">Todos os relatórios são inválidos.</w:t>
            </w:r>
          </w:p>
        </w:tc>
      </w:tr>
    </w:tbl>
    <w:bookmarkEnd w:id="28"/>
    <w:bookmarkStart w:id="29" w:name="Gerentedeunidadedenegócios"/>
    <w:p>
      <w:pPr>
        <w:pStyle w:val="Heading3"/>
      </w:pPr>
      <w:r>
        <w:t xml:space="preserve">Gerente de unidade de negócios</w:t>
      </w:r>
    </w:p>
    <w:p>
      <w:pPr>
        <w:pStyle w:val="TableCaption"/>
      </w:pPr>
      <w:r>
        <w:t xml:space="preserve">A tabela a seguir descreve as limitações de geração de relatórios do painel de controle Gerente de unidade de negócios.</w:t>
      </w:r>
    </w:p>
    <w:tbl>
      <w:tblPr>
        <w:tblStyle w:val="Table"/>
        <w:tblW w:type="auto" w:w="0"/>
        <w:tblLook w:firstRow="1" w:lastRow="0" w:firstColumn="0" w:lastColumn="0" w:noHBand="0" w:noVBand="0" w:val="0020"/>
        <w:tblCaption w:val="A tabela a seguir descreve as limitações de geração de relatórios do painel de controle Gerente de unidade de negócios."/>
      </w:tblPr>
      <w:tblGrid>
        <w:gridCol w:w="3960"/>
        <w:gridCol w:w="3960"/>
      </w:tblGrid>
      <w:tr>
        <w:trPr>
          <w:tblHeader w:val="on"/>
        </w:trPr>
        <w:tc>
          <w:tcPr/>
          <w:p>
            <w:pPr>
              <w:pStyle w:val="BodyText"/>
            </w:pPr>
            <w:r>
              <w:t xml:space="preserve">iView</w:t>
            </w:r>
          </w:p>
        </w:tc>
        <w:tc>
          <w:tcPr/>
          <w:p>
            <w:pPr>
              <w:pStyle w:val="BodyText"/>
            </w:pPr>
            <w:r>
              <w:t xml:space="preserve">Limitações de geração de relatórios de caso de uso</w:t>
            </w:r>
          </w:p>
        </w:tc>
      </w:tr>
      <w:tr>
        <w:tc>
          <w:tcPr/>
          <w:p>
            <w:pPr>
              <w:pStyle w:val="BodyText"/>
            </w:pPr>
            <w:r>
              <w:t xml:space="preserve">Links rápidos para o gerente da unidade de negócios</w:t>
            </w:r>
          </w:p>
        </w:tc>
        <w:tc>
          <w:tcPr/>
          <w:p>
            <w:pPr>
              <w:pStyle w:val="BodyText"/>
            </w:pPr>
            <w:r>
              <w:t xml:space="preserve">Todos os links rápidos são inválidos.</w:t>
            </w:r>
          </w:p>
        </w:tc>
      </w:tr>
      <w:tr>
        <w:tc>
          <w:tcPr/>
          <w:p>
            <w:pPr>
              <w:pStyle w:val="BodyText"/>
            </w:pPr>
            <w:r>
              <w:t xml:space="preserve">Todos os riscos</w:t>
            </w:r>
          </w:p>
        </w:tc>
        <w:tc>
          <w:tcPr/>
          <w:p>
            <w:pPr>
              <w:pStyle w:val="BodyText"/>
            </w:pPr>
            <w:r>
              <w:t xml:space="preserve">O relatório é inválido.</w:t>
            </w:r>
          </w:p>
        </w:tc>
      </w:tr>
      <w:tr>
        <w:tc>
          <w:tcPr/>
          <w:p>
            <w:pPr>
              <w:pStyle w:val="BodyText"/>
            </w:pPr>
            <w:r>
              <w:t xml:space="preserve">Riscos não classificados</w:t>
            </w:r>
          </w:p>
        </w:tc>
        <w:tc>
          <w:tcPr/>
          <w:p>
            <w:pPr>
              <w:pStyle w:val="BodyText"/>
            </w:pPr>
            <w:r>
              <w:t xml:space="preserve">O relatório é inválido.</w:t>
            </w:r>
          </w:p>
        </w:tc>
      </w:tr>
      <w:tr>
        <w:tc>
          <w:tcPr/>
          <w:p>
            <w:pPr>
              <w:pStyle w:val="BodyText"/>
            </w:pPr>
            <w:r>
              <w:t xml:space="preserve">Minha futura medida</w:t>
            </w:r>
          </w:p>
        </w:tc>
        <w:tc>
          <w:tcPr/>
          <w:p>
            <w:pPr>
              <w:pStyle w:val="BodyText"/>
            </w:pPr>
            <w:r>
              <w:t xml:space="preserve">O relatório é inválido.</w:t>
            </w:r>
          </w:p>
        </w:tc>
      </w:tr>
      <w:tr>
        <w:tc>
          <w:tcPr/>
          <w:p>
            <w:pPr>
              <w:pStyle w:val="BodyText"/>
            </w:pPr>
            <w:r>
              <w:t xml:space="preserve">Minha medida vencida</w:t>
            </w:r>
          </w:p>
        </w:tc>
        <w:tc>
          <w:tcPr/>
          <w:p>
            <w:pPr>
              <w:pStyle w:val="BodyText"/>
            </w:pPr>
            <w:r>
              <w:t xml:space="preserve">O relatório é inválido.</w:t>
            </w:r>
          </w:p>
        </w:tc>
      </w:tr>
      <w:tr>
        <w:tc>
          <w:tcPr/>
          <w:p>
            <w:pPr>
              <w:pStyle w:val="BodyText"/>
            </w:pPr>
            <w:r>
              <w:t xml:space="preserve">Minha medida reprovada</w:t>
            </w:r>
          </w:p>
        </w:tc>
        <w:tc>
          <w:tcPr/>
          <w:p>
            <w:pPr>
              <w:pStyle w:val="BodyText"/>
            </w:pPr>
            <w:r>
              <w:t xml:space="preserve">O relatório é inválido.</w:t>
            </w:r>
          </w:p>
        </w:tc>
      </w:tr>
      <w:tr>
        <w:tc>
          <w:tcPr/>
          <w:p>
            <w:pPr>
              <w:pStyle w:val="BodyText"/>
            </w:pPr>
            <w:r>
              <w:t xml:space="preserve">Probabilidade e impacto</w:t>
            </w:r>
          </w:p>
        </w:tc>
        <w:tc>
          <w:tcPr/>
          <w:p>
            <w:pPr>
              <w:pStyle w:val="BodyText"/>
            </w:pPr>
            <w:r>
              <w:t xml:space="preserve">Ambos os relatórios são inválidos.</w:t>
            </w:r>
          </w:p>
        </w:tc>
      </w:tr>
      <w:tr>
        <w:tc>
          <w:tcPr/>
          <w:p>
            <w:pPr>
              <w:pStyle w:val="BodyText"/>
            </w:pPr>
            <w:r>
              <w:t xml:space="preserve">Inventário de riscos para o gerente de unidade de negócios</w:t>
            </w:r>
          </w:p>
        </w:tc>
        <w:tc>
          <w:tcPr/>
          <w:p>
            <w:pPr>
              <w:pStyle w:val="BodyText"/>
            </w:pPr>
            <w:r>
              <w:t xml:space="preserve">Todos os relatórios são inválidos.</w:t>
            </w:r>
          </w:p>
        </w:tc>
      </w:tr>
      <w:tr>
        <w:tc>
          <w:tcPr/>
          <w:p>
            <w:pPr>
              <w:pStyle w:val="BodyText"/>
            </w:pPr>
            <w:r>
              <w:t xml:space="preserve">Resumo de eventos de perda</w:t>
            </w:r>
          </w:p>
        </w:tc>
        <w:tc>
          <w:tcPr/>
          <w:p>
            <w:pPr>
              <w:pStyle w:val="BodyText"/>
            </w:pPr>
            <w:r>
              <w:t xml:space="preserve">Todos os relatórios são inválidos.</w:t>
            </w:r>
          </w:p>
        </w:tc>
      </w:tr>
      <w:tr>
        <w:tc>
          <w:tcPr/>
          <w:p>
            <w:pPr>
              <w:pStyle w:val="BodyText"/>
            </w:pPr>
            <w:r>
              <w:t xml:space="preserve">Meus eventos de perda que requerem revisão</w:t>
            </w:r>
          </w:p>
        </w:tc>
        <w:tc>
          <w:tcPr/>
          <w:p>
            <w:pPr>
              <w:pStyle w:val="BodyText"/>
            </w:pPr>
            <w:r>
              <w:t xml:space="preserve">Todos os relatórios são inválidos.</w:t>
            </w:r>
          </w:p>
        </w:tc>
      </w:tr>
      <w:tr>
        <w:tc>
          <w:tcPr/>
          <w:p>
            <w:pPr>
              <w:pStyle w:val="BodyText"/>
            </w:pPr>
            <w:r>
              <w:t xml:space="preserve">Resumo da autoavaliação de riscos</w:t>
            </w:r>
          </w:p>
        </w:tc>
        <w:tc>
          <w:tcPr/>
          <w:p>
            <w:pPr>
              <w:pStyle w:val="BodyText"/>
            </w:pPr>
            <w:r>
              <w:t xml:space="preserve">Todos os relatórios são inválidos.</w:t>
            </w:r>
          </w:p>
        </w:tc>
      </w:tr>
      <w:tr>
        <w:tc>
          <w:tcPr/>
          <w:p>
            <w:pPr>
              <w:pStyle w:val="BodyText"/>
            </w:pPr>
            <w:r>
              <w:t xml:space="preserve">Resumo de indicador-chave</w:t>
            </w:r>
          </w:p>
        </w:tc>
        <w:tc>
          <w:tcPr/>
          <w:p>
            <w:pPr>
              <w:pStyle w:val="BodyText"/>
            </w:pPr>
            <w:r>
              <w:t xml:space="preserve">Todos os relatórios são inválidos.</w:t>
            </w:r>
          </w:p>
        </w:tc>
      </w:tr>
    </w:tbl>
    <w:bookmarkEnd w:id="29"/>
    <w:bookmarkStart w:id="30" w:name="Gerentederiscos"/>
    <w:p>
      <w:pPr>
        <w:pStyle w:val="Heading3"/>
      </w:pPr>
      <w:r>
        <w:t xml:space="preserve">Gerente de riscos</w:t>
      </w:r>
    </w:p>
    <w:p>
      <w:pPr>
        <w:pStyle w:val="TableCaption"/>
      </w:pPr>
      <w:r>
        <w:t xml:space="preserve">A tabela a seguir descreve as limitações de geração de relatórios do painel de controle Gerente de riscos.</w:t>
      </w:r>
    </w:p>
    <w:tbl>
      <w:tblPr>
        <w:tblStyle w:val="Table"/>
        <w:tblW w:type="auto" w:w="0"/>
        <w:tblLook w:firstRow="1" w:lastRow="0" w:firstColumn="0" w:lastColumn="0" w:noHBand="0" w:noVBand="0" w:val="0020"/>
        <w:tblCaption w:val="A tabela a seguir descreve as limitações de geração de relatórios do painel de controle Gerente de riscos."/>
      </w:tblPr>
      <w:tblGrid>
        <w:gridCol w:w="3960"/>
        <w:gridCol w:w="3960"/>
      </w:tblGrid>
      <w:tr>
        <w:trPr>
          <w:tblHeader w:val="on"/>
        </w:trPr>
        <w:tc>
          <w:tcPr/>
          <w:p>
            <w:pPr>
              <w:pStyle w:val="BodyText"/>
            </w:pPr>
            <w:r>
              <w:t xml:space="preserve">iView</w:t>
            </w:r>
          </w:p>
        </w:tc>
        <w:tc>
          <w:tcPr/>
          <w:p>
            <w:pPr>
              <w:pStyle w:val="BodyText"/>
            </w:pPr>
            <w:r>
              <w:t xml:space="preserve">Limitações de geração de relatórios de caso de uso</w:t>
            </w:r>
          </w:p>
        </w:tc>
      </w:tr>
      <w:tr>
        <w:tc>
          <w:tcPr/>
          <w:p>
            <w:pPr>
              <w:pStyle w:val="BodyText"/>
            </w:pPr>
            <w:r>
              <w:t xml:space="preserve">Links rápidos para o gerente de riscos</w:t>
            </w:r>
          </w:p>
        </w:tc>
        <w:tc>
          <w:tcPr/>
          <w:p>
            <w:pPr>
              <w:pStyle w:val="BodyText"/>
            </w:pPr>
            <w:r>
              <w:t xml:space="preserve">4 de 5 links rápidos são inválidos.</w:t>
            </w:r>
          </w:p>
        </w:tc>
      </w:tr>
      <w:tr>
        <w:tc>
          <w:tcPr/>
          <w:p>
            <w:pPr>
              <w:pStyle w:val="BodyText"/>
            </w:pPr>
            <w:r>
              <w:t xml:space="preserve">Todos os riscos</w:t>
            </w:r>
          </w:p>
        </w:tc>
        <w:tc>
          <w:tcPr/>
          <w:p>
            <w:pPr>
              <w:pStyle w:val="BodyText"/>
            </w:pPr>
            <w:r>
              <w:t xml:space="preserve">O relatório é inválido.</w:t>
            </w:r>
          </w:p>
        </w:tc>
      </w:tr>
      <w:tr>
        <w:tc>
          <w:tcPr/>
          <w:p>
            <w:pPr>
              <w:pStyle w:val="BodyText"/>
            </w:pPr>
            <w:r>
              <w:t xml:space="preserve">Perda total</w:t>
            </w:r>
          </w:p>
        </w:tc>
        <w:tc>
          <w:tcPr/>
          <w:p>
            <w:pPr>
              <w:pStyle w:val="BodyText"/>
            </w:pPr>
            <w:r>
              <w:t xml:space="preserve">O relatório é inválido.</w:t>
            </w:r>
          </w:p>
        </w:tc>
      </w:tr>
      <w:tr>
        <w:tc>
          <w:tcPr/>
          <w:p>
            <w:pPr>
              <w:pStyle w:val="BodyText"/>
            </w:pPr>
            <w:r>
              <w:t xml:space="preserve">Alto risco</w:t>
            </w:r>
          </w:p>
        </w:tc>
        <w:tc>
          <w:tcPr/>
          <w:p>
            <w:pPr>
              <w:pStyle w:val="BodyText"/>
            </w:pPr>
            <w:r>
              <w:t xml:space="preserve">O relatório é inválido.</w:t>
            </w:r>
          </w:p>
        </w:tc>
      </w:tr>
      <w:tr>
        <w:tc>
          <w:tcPr/>
          <w:p>
            <w:pPr>
              <w:pStyle w:val="BodyText"/>
            </w:pPr>
            <w:r>
              <w:t xml:space="preserve">Falha no KRI</w:t>
            </w:r>
          </w:p>
        </w:tc>
        <w:tc>
          <w:tcPr/>
          <w:p>
            <w:pPr>
              <w:pStyle w:val="BodyText"/>
            </w:pPr>
            <w:r>
              <w:t xml:space="preserve">O relatório é inválido.</w:t>
            </w:r>
          </w:p>
        </w:tc>
      </w:tr>
      <w:tr>
        <w:tc>
          <w:tcPr/>
          <w:p>
            <w:pPr>
              <w:pStyle w:val="BodyText"/>
            </w:pPr>
            <w:r>
              <w:t xml:space="preserve">Probabilidade e impacto</w:t>
            </w:r>
          </w:p>
        </w:tc>
        <w:tc>
          <w:tcPr/>
          <w:p>
            <w:pPr>
              <w:pStyle w:val="BodyText"/>
            </w:pPr>
            <w:r>
              <w:t xml:space="preserve">Ambos os relatórios são inválidos.</w:t>
            </w:r>
          </w:p>
        </w:tc>
      </w:tr>
      <w:tr>
        <w:tc>
          <w:tcPr/>
          <w:p>
            <w:pPr>
              <w:pStyle w:val="BodyText"/>
            </w:pPr>
            <w:r>
              <w:t xml:space="preserve">Riscos por unidade de negócios e classificação</w:t>
            </w:r>
          </w:p>
        </w:tc>
        <w:tc>
          <w:tcPr/>
          <w:p>
            <w:pPr>
              <w:pStyle w:val="BodyText"/>
            </w:pPr>
            <w:r>
              <w:t xml:space="preserve">O relatório é inválido.</w:t>
            </w:r>
          </w:p>
        </w:tc>
      </w:tr>
      <w:tr>
        <w:tc>
          <w:tcPr/>
          <w:p>
            <w:pPr>
              <w:pStyle w:val="BodyText"/>
            </w:pPr>
            <w:r>
              <w:t xml:space="preserve">Gerenciamento de medida de risco</w:t>
            </w:r>
          </w:p>
        </w:tc>
        <w:tc>
          <w:tcPr/>
          <w:p>
            <w:pPr>
              <w:pStyle w:val="BodyText"/>
            </w:pPr>
            <w:r>
              <w:t xml:space="preserve">Todos os relatórios são inválidos.</w:t>
            </w:r>
          </w:p>
        </w:tc>
      </w:tr>
      <w:tr>
        <w:tc>
          <w:tcPr/>
          <w:p>
            <w:pPr>
              <w:pStyle w:val="BodyText"/>
            </w:pPr>
            <w:r>
              <w:t xml:space="preserve">Inventário de riscos para o gerente de riscos</w:t>
            </w:r>
          </w:p>
        </w:tc>
        <w:tc>
          <w:tcPr/>
          <w:p>
            <w:pPr>
              <w:pStyle w:val="BodyText"/>
            </w:pPr>
            <w:r>
              <w:t xml:space="preserve">Todos os relatórios são inválidos.</w:t>
            </w:r>
          </w:p>
        </w:tc>
      </w:tr>
      <w:tr>
        <w:tc>
          <w:tcPr/>
          <w:p>
            <w:pPr>
              <w:pStyle w:val="BodyText"/>
            </w:pPr>
            <w:r>
              <w:t xml:space="preserve">Status da autoavaliação e rastreamento de alterações</w:t>
            </w:r>
          </w:p>
        </w:tc>
        <w:tc>
          <w:tcPr/>
          <w:p>
            <w:pPr>
              <w:pStyle w:val="BodyText"/>
            </w:pPr>
            <w:r>
              <w:t xml:space="preserve">Todos os relatórios são inválidos.</w:t>
            </w:r>
          </w:p>
        </w:tc>
      </w:tr>
      <w:tr>
        <w:tc>
          <w:tcPr/>
          <w:p>
            <w:pPr>
              <w:pStyle w:val="BodyText"/>
            </w:pPr>
            <w:r>
              <w:t xml:space="preserve">Preocupações da avaliação de controle</w:t>
            </w:r>
          </w:p>
        </w:tc>
        <w:tc>
          <w:tcPr/>
          <w:p>
            <w:pPr>
              <w:pStyle w:val="BodyText"/>
            </w:pPr>
            <w:r>
              <w:t xml:space="preserve">Todos os relatórios são inválidos.</w:t>
            </w:r>
          </w:p>
        </w:tc>
      </w:tr>
      <w:tr>
        <w:tc>
          <w:tcPr/>
          <w:p>
            <w:pPr>
              <w:pStyle w:val="BodyText"/>
            </w:pPr>
            <w:r>
              <w:t xml:space="preserve">Loss Event Management</w:t>
            </w:r>
          </w:p>
        </w:tc>
        <w:tc>
          <w:tcPr/>
          <w:p>
            <w:pPr>
              <w:pStyle w:val="BodyText"/>
            </w:pPr>
            <w:r>
              <w:t xml:space="preserve">Todos os relatórios são inválidos.</w:t>
            </w:r>
          </w:p>
        </w:tc>
      </w:tr>
      <w:tr>
        <w:tc>
          <w:tcPr/>
          <w:p>
            <w:pPr>
              <w:pStyle w:val="BodyText"/>
            </w:pPr>
            <w:r>
              <w:t xml:space="preserve">Planos de remediação de riscos</w:t>
            </w:r>
          </w:p>
        </w:tc>
        <w:tc>
          <w:tcPr/>
          <w:p>
            <w:pPr>
              <w:pStyle w:val="BodyText"/>
            </w:pPr>
            <w:r>
              <w:t xml:space="preserve">O relatório é inválido.</w:t>
            </w:r>
          </w:p>
        </w:tc>
      </w:tr>
      <w:tr>
        <w:tc>
          <w:tcPr/>
          <w:p>
            <w:pPr>
              <w:pStyle w:val="BodyText"/>
            </w:pPr>
            <w:r>
              <w:t xml:space="preserve">Autoavaliação que aguarda a revisão do gerente de riscos</w:t>
            </w:r>
          </w:p>
        </w:tc>
        <w:tc>
          <w:tcPr/>
          <w:p>
            <w:pPr>
              <w:pStyle w:val="BodyText"/>
            </w:pPr>
            <w:r>
              <w:t xml:space="preserve">O relatório é inválido.</w:t>
            </w:r>
          </w:p>
        </w:tc>
      </w:tr>
    </w:tbl>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Resources/Images/Solutions/EntOpRisk/eorm_bura_architecture.vsd" TargetMode="External" /></Relationships>
</file>

<file path=word/_rels/footnotes.xml.rels><?xml version="1.0" encoding="UTF-8"?><Relationships xmlns="http://schemas.openxmlformats.org/package/2006/relationships"><Relationship Type="http://schemas.openxmlformats.org/officeDocument/2006/relationships/hyperlink" Id="rId21" Target="../../Resources/Images/Solutions/EntOpRisk/eorm_bura_architecture.vs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2025-03-06T14:41:58Z</dcterms:created>
  <dcterms:modified xsi:type="dcterms:W3CDTF">2025-03-06T14:41:58Z</dcterms:modified>
</cp:coreProperties>
</file>

<file path=docProps/custom.xml><?xml version="1.0" encoding="utf-8"?>
<Properties xmlns="http://schemas.openxmlformats.org/officeDocument/2006/custom-properties" xmlns:vt="http://schemas.openxmlformats.org/officeDocument/2006/docPropsVTypes"/>
</file>