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X46d202a6f3cd15edfa9a752e84d9c3e7a68dc08"/>
    <w:p>
      <w:pPr>
        <w:pStyle w:val="Heading1"/>
      </w:pPr>
      <w:bookmarkStart w:id="20" w:name="aanchor5"/>
      <w:bookmarkEnd w:id="20"/>
      <w:r>
        <w:t xml:space="preserve"> </w:t>
      </w:r>
      <w:r>
        <w:t xml:space="preserve">Design de caso de uso de gerenciamento do risco operacional</w:t>
      </w:r>
    </w:p>
    <w:p>
      <w:pPr>
        <w:pStyle w:val="FirstParagraph"/>
      </w:pPr>
      <w:r>
        <w:t xml:space="preserve">Este tópico explica o design de caso de uso de Gerenciamento do risco operacional.</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
        <w:r>
          <w:rPr>
            <w:rStyle w:val="Hyperlink"/>
          </w:rPr>
          <w:t xml:space="preserve">Aplicativos</w:t>
        </w:r>
      </w:hyperlink>
    </w:p>
    <w:p>
      <w:pPr>
        <w:pStyle w:val="Compact"/>
        <w:numPr>
          <w:ilvl w:val="0"/>
          <w:numId w:val="1001"/>
        </w:numPr>
      </w:pPr>
      <w:hyperlink w:anchor="Fun%C3%A7%C3%B5esdeacesso">
        <w:r>
          <w:rPr>
            <w:rStyle w:val="Hyperlink"/>
          </w:rPr>
          <w:t xml:space="preserve">Funções de acesso</w:t>
        </w:r>
      </w:hyperlink>
    </w:p>
    <w:p>
      <w:pPr>
        <w:pStyle w:val="Compact"/>
        <w:numPr>
          <w:ilvl w:val="0"/>
          <w:numId w:val="1001"/>
        </w:numPr>
      </w:pPr>
      <w:hyperlink w:anchor="Grupos">
        <w:r>
          <w:rPr>
            <w:rStyle w:val="Hyperlink"/>
          </w:rPr>
          <w:t xml:space="preserve">Grupos</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hyperlink w:anchor="Workflowavan%C3%A7ado">
        <w:r>
          <w:rPr>
            <w:rStyle w:val="Hyperlink"/>
          </w:rPr>
          <w:t xml:space="preserve">Workflow avançado</w:t>
        </w:r>
      </w:hyperlink>
    </w:p>
    <w:p>
      <w:pPr>
        <w:pStyle w:val="Compact"/>
        <w:numPr>
          <w:ilvl w:val="0"/>
          <w:numId w:val="1001"/>
        </w:numPr>
      </w:pPr>
    </w:p>
    <w:p>
      <w:pPr>
        <w:pStyle w:val="Compact"/>
        <w:numPr>
          <w:ilvl w:val="1"/>
          <w:numId w:val="1002"/>
        </w:numPr>
      </w:pPr>
      <w:hyperlink w:anchor="Tarefa1Fasedeavalia%C3%A7%C3%A3o">
        <w:r>
          <w:rPr>
            <w:rStyle w:val="Hyperlink"/>
          </w:rPr>
          <w:t xml:space="preserve">Tarefa 1: Fase de avaliação</w:t>
        </w:r>
      </w:hyperlink>
    </w:p>
    <w:p>
      <w:pPr>
        <w:pStyle w:val="Compact"/>
        <w:numPr>
          <w:ilvl w:val="1"/>
          <w:numId w:val="1002"/>
        </w:numPr>
      </w:pPr>
      <w:hyperlink w:anchor="Tarefa2Fasedean%C3%A1lise">
        <w:r>
          <w:rPr>
            <w:rStyle w:val="Hyperlink"/>
          </w:rPr>
          <w:t xml:space="preserve">Tarefa 2: Fase de análise</w:t>
        </w:r>
      </w:hyperlink>
    </w:p>
    <w:p>
      <w:pPr>
        <w:pStyle w:val="Compact"/>
        <w:numPr>
          <w:ilvl w:val="1"/>
          <w:numId w:val="1002"/>
        </w:numPr>
      </w:pPr>
      <w:hyperlink w:anchor="X0bf7a83991ece9128a30b31c68ce21db31eadd5">
        <w:r>
          <w:rPr>
            <w:rStyle w:val="Hyperlink"/>
          </w:rPr>
          <w:t xml:space="preserve">Tarefa 3: Etapas de reavaliação e análise</w:t>
        </w:r>
      </w:hyperlink>
    </w:p>
    <w:p>
      <w:pPr>
        <w:pStyle w:val="Compact"/>
        <w:numPr>
          <w:ilvl w:val="1"/>
          <w:numId w:val="1002"/>
        </w:numPr>
      </w:pPr>
      <w:hyperlink w:anchor="Tarefa4Publicar">
        <w:r>
          <w:rPr>
            <w:rStyle w:val="Hyperlink"/>
          </w:rPr>
          <w:t xml:space="preserve">Tarefa 4: Publicar</w:t>
        </w:r>
      </w:hyperlink>
    </w:p>
    <w:bookmarkStart w:id="25" w:name="Diagramadaarquitetura"/>
    <w:p>
      <w:pPr>
        <w:pStyle w:val="Heading2"/>
      </w:pPr>
      <w:r>
        <w:t xml:space="preserve">Diagrama da arquitetura</w:t>
      </w:r>
    </w:p>
    <w:p>
      <w:pPr>
        <w:pStyle w:val="FirstParagraph"/>
      </w:pPr>
      <w:r>
        <w:t xml:space="preserve">O diagrama a seguir mostra os relacionamentos entre os aplicativos no caso de uso Gerenciamento do risco operacional e os outros casos de uso dentro da solução Risco operacional e empresarial.</w:t>
      </w:r>
    </w:p>
    <w:p>
      <w:pPr>
        <w:pStyle w:val="BodyText"/>
      </w:pPr>
      <w:r>
        <w:t xml:space="preserve">Faça download do arquivo de origem do diagrama aqui:</w:t>
      </w:r>
      <w:r>
        <w:t xml:space="preserve"> </w:t>
      </w:r>
      <w:hyperlink r:id="rId21">
        <w:r>
          <w:rPr>
            <w:rStyle w:val="Hyperlink"/>
          </w:rPr>
          <w:t xml:space="preserve">Diagrama da arquitetura de Gerenciamento do risco operacional</w:t>
        </w:r>
      </w:hyperlink>
    </w:p>
    <w:p>
      <w:pPr>
        <w:pStyle w:val="BodyText"/>
      </w:pPr>
      <w:r>
        <w:drawing>
          <wp:inline>
            <wp:extent cx="5334000" cy="7736669"/>
            <wp:effectExtent b="0" l="0" r="0" t="0"/>
            <wp:docPr descr="Arquitetura do caso de uso do Risk Catalog" title="Arquitetura do caso de uso do Risk Catalog" id="23" name="Picture"/>
            <a:graphic>
              <a:graphicData uri="http://schemas.openxmlformats.org/drawingml/2006/picture">
                <pic:pic>
                  <pic:nvPicPr>
                    <pic:cNvPr descr="C:/Users/samue/WebScrapper/HelpArcher-to-pdf/images/a7c064899f684759bafdb5ec93302137.png" id="24" name="Picture"/>
                    <pic:cNvPicPr>
                      <a:picLocks noChangeArrowheads="1" noChangeAspect="1"/>
                    </pic:cNvPicPr>
                  </pic:nvPicPr>
                  <pic:blipFill>
                    <a:blip r:embed="rId22"/>
                    <a:stretch>
                      <a:fillRect/>
                    </a:stretch>
                  </pic:blipFill>
                  <pic:spPr bwMode="auto">
                    <a:xfrm>
                      <a:off x="0" y="0"/>
                      <a:ext cx="5334000" cy="7736669"/>
                    </a:xfrm>
                    <a:prstGeom prst="rect">
                      <a:avLst/>
                    </a:prstGeom>
                    <a:noFill/>
                    <a:ln w="9525">
                      <a:noFill/>
                      <a:headEnd/>
                      <a:tailEnd/>
                    </a:ln>
                  </pic:spPr>
                </pic:pic>
              </a:graphicData>
            </a:graphic>
          </wp:inline>
        </w:drawing>
      </w:r>
    </w:p>
    <w:p>
      <w:pPr>
        <w:pStyle w:val="BodyText"/>
      </w:pPr>
      <w:r>
        <w:rPr>
          <w:b/>
          <w:bCs/>
        </w:rPr>
        <w:t xml:space="preserve">Observação:</w:t>
      </w:r>
      <w:r>
        <w:t xml:space="preserve"> </w:t>
      </w:r>
      <w:r>
        <w:t xml:space="preserve">Feeds que criam medidas de uma biblioteca de medidas (seja processo de negócios ou riscos) não criam registros de declaração de riscos associados aos registros de declaração de riscos. Os objetos do catálogo de ativos de negócios e suas avaliações associadas não entram automaticamente no escopo do projeto de risco e devem ter o escopo atribuído manualmente.</w:t>
      </w:r>
    </w:p>
    <w:bookmarkEnd w:id="25"/>
    <w:bookmarkStart w:id="26" w:name="Aplicativos"/>
    <w:p>
      <w:pPr>
        <w:pStyle w:val="Heading2"/>
      </w:pPr>
      <w:r>
        <w:t xml:space="preserve">Aplicativos</w:t>
      </w:r>
    </w:p>
    <w:p>
      <w:pPr>
        <w:pStyle w:val="TableCaption"/>
      </w:pPr>
      <w:r>
        <w:t xml:space="preserve">A tabela a seguir descreve os aplicativos.</w:t>
      </w:r>
    </w:p>
    <w:tbl>
      <w:tblPr>
        <w:tblStyle w:val="Table"/>
        <w:tblW w:type="auto" w:w="0"/>
        <w:tblLook w:firstRow="1" w:lastRow="0" w:firstColumn="0" w:lastColumn="0" w:noHBand="0" w:noVBand="0" w:val="0020"/>
        <w:tblCaption w:val="A tabela a seguir descreve os aplicativos."/>
      </w:tblPr>
      <w:tblGrid>
        <w:gridCol w:w="3960"/>
        <w:gridCol w:w="3960"/>
      </w:tblGrid>
      <w:tr>
        <w:trPr>
          <w:tblHeader w:val="on"/>
        </w:trPr>
        <w:tc>
          <w:tcPr/>
          <w:p>
            <w:pPr>
              <w:pStyle w:val="BodyText"/>
            </w:pPr>
            <w:r>
              <w:t xml:space="preserve">Aplicativo</w:t>
            </w:r>
          </w:p>
        </w:tc>
        <w:tc>
          <w:tcPr/>
          <w:p>
            <w:pPr>
              <w:pStyle w:val="BodyText"/>
            </w:pPr>
            <w:r>
              <w:t xml:space="preserve">Descrição</w:t>
            </w:r>
          </w:p>
        </w:tc>
      </w:tr>
      <w:tr>
        <w:tc>
          <w:tcPr/>
          <w:p>
            <w:pPr>
              <w:pStyle w:val="BodyText"/>
            </w:pPr>
            <w:r>
              <w:t xml:space="preserve">Autoavaliação</w:t>
            </w:r>
          </w:p>
        </w:tc>
        <w:tc>
          <w:tcPr/>
          <w:p>
            <w:pPr>
              <w:pStyle w:val="BodyText"/>
            </w:pPr>
            <w:r>
              <w:t xml:space="preserve">O aplicativo Autoavaliação contém registros das autoavaliações criadas.</w:t>
            </w:r>
          </w:p>
        </w:tc>
      </w:tr>
      <w:tr>
        <w:tc>
          <w:tcPr/>
          <w:p>
            <w:pPr>
              <w:pStyle w:val="BodyText"/>
            </w:pPr>
            <w:r>
              <w:t xml:space="preserve">Dados de avaliação de riscos</w:t>
            </w:r>
          </w:p>
        </w:tc>
        <w:tc>
          <w:tcPr/>
          <w:p>
            <w:pPr>
              <w:pStyle w:val="BodyText"/>
            </w:pPr>
            <w:r>
              <w:t xml:space="preserve">O aplicativo Dados de avaliação de riscos contém os registros relacionados às autoavaliações que sua empresa pode assumir.</w:t>
            </w:r>
          </w:p>
        </w:tc>
      </w:tr>
      <w:tr>
        <w:tc>
          <w:tcPr/>
          <w:p>
            <w:pPr>
              <w:pStyle w:val="BodyText"/>
            </w:pPr>
            <w:r>
              <w:t xml:space="preserve">Campanha de avaliação</w:t>
            </w:r>
          </w:p>
        </w:tc>
        <w:tc>
          <w:tcPr/>
          <w:p>
            <w:pPr>
              <w:pStyle w:val="BodyText"/>
            </w:pPr>
            <w:r>
              <w:t xml:space="preserve">O aplicativo Campanha de avaliação permite criar registros de autoavaliação no processo de negócios ou no nível da unidade de negócios. Além disso, é possível gerar uma campanha que, depois de concluída, será automaticamente inscrita em um workflow avançado.</w:t>
            </w:r>
          </w:p>
        </w:tc>
      </w:tr>
      <w:tr>
        <w:tc>
          <w:tcPr/>
          <w:p>
            <w:pPr>
              <w:pStyle w:val="BodyText"/>
            </w:pPr>
            <w:r>
              <w:t xml:space="preserve">Dados de avaliação de processos de negócios</w:t>
            </w:r>
          </w:p>
        </w:tc>
        <w:tc>
          <w:tcPr/>
          <w:p>
            <w:pPr>
              <w:pStyle w:val="BodyText"/>
            </w:pPr>
            <w:r>
              <w:t xml:space="preserve">O aplicativo Dados de avaliação de processos de negócios contém os dados de autoavaliação relacionados aos processos de negócios.</w:t>
            </w:r>
          </w:p>
        </w:tc>
      </w:tr>
      <w:tr>
        <w:tc>
          <w:tcPr/>
          <w:p>
            <w:pPr>
              <w:pStyle w:val="BodyText"/>
            </w:pPr>
            <w:r>
              <w:t xml:space="preserve">Dados de avaliação de controle</w:t>
            </w:r>
          </w:p>
        </w:tc>
        <w:tc>
          <w:tcPr/>
          <w:p>
            <w:pPr>
              <w:pStyle w:val="BodyText"/>
            </w:pPr>
            <w:r>
              <w:t xml:space="preserve">O aplicativo Dados de avaliação de controle contém os dados de autoavaliação relacionados aos procedimentos de controle.</w:t>
            </w:r>
          </w:p>
        </w:tc>
      </w:tr>
      <w:tr>
        <w:tc>
          <w:tcPr/>
          <w:p>
            <w:pPr>
              <w:pStyle w:val="BodyText"/>
            </w:pPr>
            <w:r>
              <w:t xml:space="preserve">Objetivos corporativos</w:t>
            </w:r>
          </w:p>
        </w:tc>
        <w:tc>
          <w:tcPr/>
          <w:p>
            <w:pPr>
              <w:pStyle w:val="BodyText"/>
            </w:pPr>
            <w:r>
              <w:t xml:space="preserve">O aplicativo Objetivos corporativos rastreia objetivos estratégicos, operacionais, de conformidade e de geração de relatórios na medida em que eles se relacionam a políticas e riscos da empresa. Os indicadores-chave de desempenho permitem que a corporação monitore o andamento desses objetivos.</w:t>
            </w:r>
          </w:p>
        </w:tc>
      </w:tr>
      <w:tr>
        <w:tc>
          <w:tcPr/>
          <w:p>
            <w:pPr>
              <w:pStyle w:val="BodyText"/>
            </w:pPr>
            <w:r>
              <w:t xml:space="preserve">Aplicativos</w:t>
            </w:r>
          </w:p>
        </w:tc>
        <w:tc>
          <w:tcPr/>
          <w:p>
            <w:pPr>
              <w:pStyle w:val="BodyText"/>
            </w:pPr>
            <w:r>
              <w:t xml:space="preserve">O aplicativo Aplicativos armazena todos os aplicativos de software usados pela organização para executar operações de negócios. Você pode visualizar como um aplicativo é utilizado, as pessoas que o utilizam e os dispositivos no qual o aplicativo está instalado. Você também pode rastrear o impacto nos negócios, o impacto no cliente e os detalhes do licenciamento e associar isso a outros aspectos da infraestrutura corporativa.</w:t>
            </w:r>
          </w:p>
          <w:p>
            <w:pPr>
              <w:pStyle w:val="BodyText"/>
            </w:pPr>
            <w:r>
              <w:rPr>
                <w:b/>
                <w:bCs/>
              </w:rPr>
              <w:t xml:space="preserve">Observação:</w:t>
            </w:r>
            <w:r>
              <w:t xml:space="preserve"> </w:t>
            </w:r>
            <w:r>
              <w:t xml:space="preserve">O aplicativo Aplicativos está incluído no pacote Catálogo corporativo.</w:t>
            </w:r>
          </w:p>
        </w:tc>
      </w:tr>
      <w:tr>
        <w:tc>
          <w:tcPr/>
          <w:p>
            <w:pPr>
              <w:pStyle w:val="BodyText"/>
            </w:pPr>
            <w:r>
              <w:t xml:space="preserve">Contatos</w:t>
            </w:r>
          </w:p>
        </w:tc>
        <w:tc>
          <w:tcPr/>
          <w:p>
            <w:pPr>
              <w:pStyle w:val="BodyText"/>
            </w:pPr>
            <w:r>
              <w:t xml:space="preserve">O aplicativo Contatos serve como um repositório central para informações de contato, é utilizado em várias áreas do</w:t>
            </w:r>
            <w:r>
              <w:t xml:space="preserve"> </w:t>
            </w:r>
            <w:r>
              <w:t xml:space="preserve">Archer</w:t>
            </w:r>
            <w:r>
              <w:t xml:space="preserve"> </w:t>
            </w:r>
            <w:r>
              <w:t xml:space="preserve">e contém informações que são frequentemente utilizadas por outros casos de uso. As atualizações realizadas em um registro de perfil nesse aplicativo se propagam automaticamente para todos os registros com informações de contato exibidas.</w:t>
            </w:r>
          </w:p>
          <w:p>
            <w:pPr>
              <w:pStyle w:val="BodyText"/>
            </w:pPr>
            <w:r>
              <w:rPr>
                <w:b/>
                <w:bCs/>
              </w:rPr>
              <w:t xml:space="preserve">Observação:</w:t>
            </w:r>
            <w:r>
              <w:t xml:space="preserve"> </w:t>
            </w:r>
            <w:r>
              <w:t xml:space="preserve">o aplicativo Contatos está incluído no pacote Catálogo corporativo.</w:t>
            </w:r>
          </w:p>
        </w:tc>
      </w:tr>
      <w:tr>
        <w:tc>
          <w:tcPr/>
          <w:p>
            <w:pPr>
              <w:pStyle w:val="BodyText"/>
            </w:pPr>
            <w:r>
              <w:t xml:space="preserve">Seguros</w:t>
            </w:r>
          </w:p>
        </w:tc>
        <w:tc>
          <w:tcPr/>
          <w:p>
            <w:pPr>
              <w:pStyle w:val="BodyText"/>
            </w:pPr>
            <w:r>
              <w:t xml:space="preserve">O aplicativo Seguros foi criado para servir como um repositório de todas as apólices de seguro da organização. Você pode gerenciar as políticas juntamente com as requisições de reembolso associadas, associar os riscos à inclusão e à exclusão de políticas, e catalogar as perdas com base nas políticas às quais elas se aplicam.</w:t>
            </w:r>
          </w:p>
          <w:p>
            <w:pPr>
              <w:pStyle w:val="BodyText"/>
            </w:pPr>
            <w:r>
              <w:t xml:space="preserve">Use o aplicativo de Seguros para: gerenciar programas de seguro corporativo rastreando aplicativos de seguro, apólices de seguro, prêmios, franquias, corretores, seguradores, solidez financeira dos seguradores e datas de expiração; identificar lacunas associadas a riscos não segurados e analisar riscos segurados em excesso e de modo insuficiente, associando apólices de seguro a riscos; analisar perdas incorridas em relação aos prêmios de seguros pagos (taxas de perda); realizar o gerenciamento das requisições de reembolso básicas por meio dos eventos de perda; racionalizar o programa de transferência de riscos corporativos de seguro em termos de perfil geral dos riscos da organização.</w:t>
            </w:r>
          </w:p>
        </w:tc>
      </w:tr>
    </w:tbl>
    <w:bookmarkEnd w:id="26"/>
    <w:bookmarkStart w:id="27" w:name="Funçõesdeacesso"/>
    <w:p>
      <w:pPr>
        <w:pStyle w:val="Heading2"/>
      </w:pPr>
      <w:r>
        <w:t xml:space="preserve">Funções de acesso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RM: Administrador</w:t>
            </w:r>
          </w:p>
        </w:tc>
        <w:tc>
          <w:tcPr/>
          <w:p>
            <w:pPr>
              <w:pStyle w:val="BodyText"/>
            </w:pPr>
            <w:r>
              <w:t xml:space="preserve">Serve como o administrador do caso de uso. (Gerente de riscos, gerente de riscos especialista)</w:t>
            </w:r>
          </w:p>
        </w:tc>
      </w:tr>
      <w:tr>
        <w:tc>
          <w:tcPr/>
          <w:p>
            <w:pPr>
              <w:pStyle w:val="BodyText"/>
            </w:pPr>
            <w:r>
              <w:t xml:space="preserve">RM: Executivos</w:t>
            </w:r>
          </w:p>
        </w:tc>
        <w:tc>
          <w:tcPr/>
          <w:p>
            <w:pPr>
              <w:pStyle w:val="BodyText"/>
            </w:pPr>
            <w:r>
              <w:t xml:space="preserve">Fornece os níveis de acesso adequados para o caso de uso à equipe executiva (CFO, CEO, controlador).</w:t>
            </w:r>
          </w:p>
        </w:tc>
      </w:tr>
      <w:tr>
        <w:tc>
          <w:tcPr/>
          <w:p>
            <w:pPr>
              <w:pStyle w:val="BodyText"/>
            </w:pPr>
            <w:r>
              <w:t xml:space="preserve">RM: Gerente</w:t>
            </w:r>
          </w:p>
        </w:tc>
        <w:tc>
          <w:tcPr/>
          <w:p>
            <w:pPr>
              <w:pStyle w:val="BodyText"/>
            </w:pPr>
            <w:r>
              <w:t xml:space="preserve">Fornece à gerência acesso para criação, leitura e atualização do caso de uso.</w:t>
            </w:r>
          </w:p>
        </w:tc>
      </w:tr>
      <w:tr>
        <w:tc>
          <w:tcPr/>
          <w:p>
            <w:pPr>
              <w:pStyle w:val="BodyText"/>
            </w:pPr>
            <w:r>
              <w:t xml:space="preserve">RM: Responsável</w:t>
            </w:r>
          </w:p>
        </w:tc>
        <w:tc>
          <w:tcPr/>
          <w:p>
            <w:pPr>
              <w:pStyle w:val="BodyText"/>
            </w:pPr>
            <w:r>
              <w:t xml:space="preserve">Fornece aos responsáveis pelos processos de negócios acesso para criação, leitura e atualização do caso de uso.</w:t>
            </w:r>
          </w:p>
        </w:tc>
      </w:tr>
      <w:tr>
        <w:tc>
          <w:tcPr/>
          <w:p>
            <w:pPr>
              <w:pStyle w:val="BodyText"/>
            </w:pPr>
            <w:r>
              <w:t xml:space="preserve">RM: Somente leitura</w:t>
            </w:r>
          </w:p>
        </w:tc>
        <w:tc>
          <w:tcPr/>
          <w:p>
            <w:pPr>
              <w:pStyle w:val="BodyText"/>
            </w:pPr>
            <w:r>
              <w:t xml:space="preserve">Função fornece acesso somente leitura para o caso de uso.</w:t>
            </w:r>
          </w:p>
        </w:tc>
      </w:tr>
    </w:tbl>
    <w:p>
      <w:pPr>
        <w:pStyle w:val="BodyText"/>
      </w:pPr>
      <w:r>
        <w:rPr>
          <w:b/>
          <w:bCs/>
        </w:rPr>
        <w:t xml:space="preserve">Observação:</w:t>
      </w:r>
      <w:r>
        <w:t xml:space="preserve"> </w:t>
      </w:r>
      <w:r>
        <w:t xml:space="preserve">para conhecer os direitos de acesso detalhados no nível da página, consulte o</w:t>
      </w:r>
      <w:r>
        <w:t xml:space="preserve"> </w:t>
      </w:r>
      <w:r>
        <w:rPr>
          <w:i/>
          <w:iCs/>
        </w:rPr>
        <w:t xml:space="preserve">Dicionário de dados</w:t>
      </w:r>
      <w:r>
        <w:t xml:space="preserve">.</w:t>
      </w:r>
    </w:p>
    <w:p>
      <w:pPr>
        <w:pStyle w:val="BodyText"/>
      </w:pPr>
      <w:r>
        <w:t xml:space="preserve">Para obter a lista completa dos campos de permissão de registro do aplicativo, inclusive quais campos de usuários/grupos preenchem os campos e de onde os campos herdam as permissões, consulte o</w:t>
      </w:r>
      <w:r>
        <w:t xml:space="preserve"> </w:t>
      </w:r>
      <w:r>
        <w:rPr>
          <w:i/>
          <w:iCs/>
        </w:rPr>
        <w:t xml:space="preserve">Dicionário de dados</w:t>
      </w:r>
      <w:r>
        <w:t xml:space="preserve">.</w:t>
      </w:r>
    </w:p>
    <w:bookmarkEnd w:id="27"/>
    <w:bookmarkStart w:id="28" w:name="Grupos"/>
    <w:p>
      <w:pPr>
        <w:pStyle w:val="Heading2"/>
      </w:pPr>
      <w:r>
        <w:t xml:space="preserve">Grupos</w:t>
      </w:r>
    </w:p>
    <w:p>
      <w:pPr>
        <w:pStyle w:val="TableCaption"/>
      </w:pPr>
      <w:r>
        <w:t xml:space="preserve">A tabela a seguir descreve os grupos dos casos de uso.</w:t>
      </w:r>
    </w:p>
    <w:tbl>
      <w:tblPr>
        <w:tblStyle w:val="Table"/>
        <w:tblW w:type="auto" w:w="0"/>
        <w:tblLook w:firstRow="1" w:lastRow="0" w:firstColumn="0" w:lastColumn="0" w:noHBand="0" w:noVBand="0" w:val="0020"/>
        <w:tblCaption w:val="A tabela a seguir descreve os grupos dos casos de uso."/>
      </w:tblPr>
      <w:tblGrid>
        <w:gridCol w:w="3960"/>
        <w:gridCol w:w="3960"/>
      </w:tblGrid>
      <w:tr>
        <w:trPr>
          <w:tblHeader w:val="on"/>
        </w:trPr>
        <w:tc>
          <w:tcPr/>
          <w:p>
            <w:pPr>
              <w:pStyle w:val="BodyText"/>
            </w:pPr>
            <w:r>
              <w:t xml:space="preserve">Grupos</w:t>
            </w:r>
          </w:p>
        </w:tc>
        <w:tc>
          <w:tcPr/>
          <w:p>
            <w:pPr>
              <w:pStyle w:val="BodyText"/>
            </w:pPr>
            <w:r>
              <w:t xml:space="preserve">Descrição</w:t>
            </w:r>
          </w:p>
        </w:tc>
      </w:tr>
      <w:tr>
        <w:tc>
          <w:tcPr/>
          <w:p>
            <w:pPr>
              <w:pStyle w:val="BodyText"/>
            </w:pPr>
            <w:r>
              <w:t xml:space="preserve">Segunda linha de defesa do gerente de riscos</w:t>
            </w:r>
          </w:p>
        </w:tc>
        <w:tc>
          <w:tcPr/>
          <w:p>
            <w:pPr>
              <w:pStyle w:val="BodyText"/>
            </w:pPr>
            <w:r>
              <w:t xml:space="preserve">Os indivíduos associados a esse grupo são responsáveis pelo monitoramento da eficiência do processo de gerenciamento de riscos e pela implementação das alterações necessárias. Eles identificam, avaliam, priorizam e monitoram as tendências de risco dentro da infraestrutura de negócios mais ampla. Os diretores e gerentes de riscos são personas que se alinham com a segunda linha de defesa e em última análise são responsáveis pela supervisão do gerenciamento de riscos da primeira linha.</w:t>
            </w:r>
          </w:p>
        </w:tc>
      </w:tr>
      <w:tr>
        <w:tc>
          <w:tcPr/>
          <w:p>
            <w:pPr>
              <w:pStyle w:val="BodyText"/>
            </w:pPr>
            <w:r>
              <w:t xml:space="preserve">Primeira linha de defesa empresarial</w:t>
            </w:r>
          </w:p>
        </w:tc>
        <w:tc>
          <w:tcPr/>
          <w:p>
            <w:pPr>
              <w:pStyle w:val="BodyText"/>
            </w:pPr>
            <w:r>
              <w:t xml:space="preserve">Os indivíduos associados a esse grupo serão responsáveis por identificar e gerenciar os riscos de processos em sua linha de negócios. Entre as posições organizacionais que podem ser incluídas na categoria da primeira linha de defesa, estão o gerente de linha de negócios e o coordenador de linha de negócios. Os gerentes de linha de negócios são responsáveis pelo gerenciamento de riscos operacionais da linha de negócios, enquanto os coordenadores de linha de negócios normalmente contribuem com os esforços no sentido de concluir as atividades de autoavaliação da linha de negócios, conforme definido pelo programa de autoavaliação de risco da organização.</w:t>
            </w:r>
          </w:p>
        </w:tc>
      </w:tr>
      <w:tr>
        <w:tc>
          <w:tcPr/>
          <w:p>
            <w:pPr>
              <w:pStyle w:val="BodyText"/>
            </w:pPr>
            <w:r>
              <w:t xml:space="preserve">Segunda linha de defesa de conformidade</w:t>
            </w:r>
          </w:p>
        </w:tc>
        <w:tc>
          <w:tcPr/>
          <w:p>
            <w:pPr>
              <w:pStyle w:val="BodyText"/>
            </w:pPr>
            <w:r>
              <w:t xml:space="preserve">Os indivíduos associados a esse grupo são responsáveis pelo monitoramento da eficiência do processo de gerenciamento de conformidade e pela implementação das alterações necessárias.</w:t>
            </w:r>
          </w:p>
        </w:tc>
      </w:tr>
    </w:tbl>
    <w:bookmarkEnd w:id="28"/>
    <w:bookmarkStart w:id="29" w:name="Painéisdecontrole"/>
    <w:p>
      <w:pPr>
        <w:pStyle w:val="Heading2"/>
      </w:pPr>
      <w:r>
        <w:t xml:space="preserve">Painéis de controle</w:t>
      </w:r>
    </w:p>
    <w:p>
      <w:pPr>
        <w:pStyle w:val="TableCaption"/>
      </w:pPr>
      <w:r>
        <w:t xml:space="preserve">A tabela a seguir descreve os painéis de controle baseados em persona do caso de uso.</w:t>
      </w:r>
    </w:p>
    <w:tbl>
      <w:tblPr>
        <w:tblStyle w:val="Table"/>
        <w:tblW w:type="auto" w:w="0"/>
        <w:tblLook w:firstRow="1" w:lastRow="0" w:firstColumn="0" w:lastColumn="0" w:noHBand="0" w:noVBand="0" w:val="0020"/>
        <w:tblCaption w:val="A tabela a seguir descreve os painéis de controle baseados em persona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Gerenciamento executivo</w:t>
            </w:r>
          </w:p>
        </w:tc>
        <w:tc>
          <w:tcPr/>
          <w:p>
            <w:pPr>
              <w:pStyle w:val="BodyText"/>
            </w:pPr>
            <w:r>
              <w:t xml:space="preserve">Usado por controladores, CFOs e CEOs para visualizar riscos da empresa/unidade de negócios, rastrear a exposição a riscos e analisar os eventos de perda que exigem aprovação executiva.</w:t>
            </w:r>
          </w:p>
        </w:tc>
      </w:tr>
      <w:tr>
        <w:tc>
          <w:tcPr/>
          <w:p>
            <w:pPr>
              <w:pStyle w:val="BodyText"/>
            </w:pPr>
            <w:r>
              <w:t xml:space="preserve">Gerente de unidade de negócios</w:t>
            </w:r>
          </w:p>
        </w:tc>
        <w:tc>
          <w:tcPr/>
          <w:p>
            <w:pPr>
              <w:pStyle w:val="BodyText"/>
            </w:pPr>
            <w:r>
              <w:t xml:space="preserve">Usado por gerentes da unidade de negócios e os coordenadores da unidade de negócios para criar novos eventos de perda e exibir avaliações ativas, eventos de perda não aprovados e eventos de perda que exigem análise ou aprovação executiva.</w:t>
            </w:r>
          </w:p>
        </w:tc>
      </w:tr>
      <w:tr>
        <w:tc>
          <w:tcPr/>
          <w:p>
            <w:pPr>
              <w:pStyle w:val="BodyText"/>
            </w:pPr>
            <w:r>
              <w:t xml:space="preserve">Proprietário de unidade de negócios</w:t>
            </w:r>
          </w:p>
        </w:tc>
        <w:tc>
          <w:tcPr/>
          <w:p>
            <w:pPr>
              <w:pStyle w:val="BodyText"/>
            </w:pPr>
            <w:r>
              <w:t xml:space="preserve">Usado por proprietários de unidades de negócios para visualizar riscos e avaliações de aprovação de riscos e para adicionar novos riscos, avaliações de riscos, eventos de perda e resultados de métricas.</w:t>
            </w:r>
          </w:p>
        </w:tc>
      </w:tr>
      <w:tr>
        <w:tc>
          <w:tcPr/>
          <w:p>
            <w:pPr>
              <w:pStyle w:val="BodyText"/>
            </w:pPr>
            <w:r>
              <w:t xml:space="preserve">Gerente de riscos</w:t>
            </w:r>
          </w:p>
        </w:tc>
        <w:tc>
          <w:tcPr/>
          <w:p>
            <w:pPr>
              <w:pStyle w:val="BodyText"/>
            </w:pPr>
            <w:r>
              <w:t xml:space="preserve">Usado pelos gerentes de riscos e especialistas em riscos para visualizar avaliações ativas, eventos de perda aguardando revisão e projetos de risco abertos.</w:t>
            </w:r>
          </w:p>
        </w:tc>
      </w:tr>
      <w:tr>
        <w:tc>
          <w:tcPr/>
          <w:p>
            <w:pPr>
              <w:pStyle w:val="BodyText"/>
            </w:pPr>
            <w:r>
              <w:t xml:space="preserve">Administração da qualidade dos dados</w:t>
            </w:r>
          </w:p>
        </w:tc>
        <w:tc>
          <w:tcPr/>
          <w:p>
            <w:pPr>
              <w:pStyle w:val="BodyText"/>
            </w:pPr>
            <w:r>
              <w:t xml:space="preserve">Contém várias iViews que emitem relatórios sobre possíveis problemas de qualidade ou integridade dos dados, como processos de negócios, riscos ou controles com vários proprietários/gerentes, riscos não vinculados a processos de negócios e riscos sem controles de mitigação.</w:t>
            </w:r>
          </w:p>
        </w:tc>
      </w:tr>
    </w:tbl>
    <w:bookmarkEnd w:id="29"/>
    <w:bookmarkStart w:id="34" w:name="Workflowavançado"/>
    <w:p>
      <w:pPr>
        <w:pStyle w:val="Heading2"/>
      </w:pPr>
      <w:r>
        <w:t xml:space="preserve">Workflow avançado</w:t>
      </w:r>
    </w:p>
    <w:p>
      <w:pPr>
        <w:pStyle w:val="FirstParagraph"/>
      </w:pPr>
      <w:r>
        <w:t xml:space="preserve">O fluxo de trabalho a seguir é aplicado a todas as autoavaliações no aplicativo Autoavaliações.</w:t>
      </w:r>
    </w:p>
    <w:p>
      <w:pPr>
        <w:pStyle w:val="BodyText"/>
      </w:pPr>
      <w:r>
        <w:rPr>
          <w:b/>
          <w:bCs/>
        </w:rPr>
        <w:t xml:space="preserve">Observação:</w:t>
      </w:r>
      <w:r>
        <w:t xml:space="preserve"> </w:t>
      </w:r>
      <w:r>
        <w:t xml:space="preserve">A lógica de processamento e cálculo exclui automaticamente do escopo todos os riscos quantitativos.</w:t>
      </w:r>
    </w:p>
    <w:bookmarkStart w:id="30" w:name="Tarefa1Fasedeavaliação"/>
    <w:p>
      <w:pPr>
        <w:pStyle w:val="Heading3"/>
      </w:pPr>
      <w:r>
        <w:t xml:space="preserve">Tarefa 1: Fase de avaliação</w:t>
      </w:r>
    </w:p>
    <w:p>
      <w:pPr>
        <w:pStyle w:val="FirstParagraph"/>
      </w:pPr>
      <w:r>
        <w:t xml:space="preserve">O Gerente de riscos começa avaliando quais entidades ele deseja avaliar: Unidades de negócios, Processos de negócios ou Produtos e serviços. O Gerente de riscos cria uma campanha de avaliação para definir o escopo das entidades desejadas. Ele pode criar registros de autoavaliação pRCSA, RCSA ou CSA. O Gerente de riscos gera automaticamente as autoavaliações da campanha, e os registros gerados são colocados no aplicativo Autoavaliações. As notificações são enviadas para o Gerente de unidade de negócios. A autoavaliação é atribuída automaticamente ao Gerente de unidade de negócios, mas ela pode ser reatribuída conforme necessário.</w:t>
      </w:r>
    </w:p>
    <w:p>
      <w:pPr>
        <w:pStyle w:val="BodyText"/>
      </w:pPr>
      <w:r>
        <w:t xml:space="preserve">Em seguida, o gerente ou coordenador da unidade de negócios inicia a sua avaliação. Eles podem substituir as classificações Inerentes e Residuais anteriores para riscos individuais ou manter as classificações existentes e definir manualmente o status de Indicador Avaliado para o status Avaliado. Eles também podem classificar os controles associados a cada risco e/ou adicionar novos resultados a riscos ou controles. Depois que todos os riscos são marcados como avaliados, o gerente de unidade de negócios envia a autoavaliação ao gerente de riscos, que recebe uma notificação. Assim começa a fase de análise.</w:t>
      </w:r>
    </w:p>
    <w:bookmarkEnd w:id="30"/>
    <w:bookmarkStart w:id="31" w:name="Tarefa2Fasedeanálise"/>
    <w:p>
      <w:pPr>
        <w:pStyle w:val="Heading3"/>
      </w:pPr>
      <w:r>
        <w:t xml:space="preserve">Tarefa 2: Fase de análise</w:t>
      </w:r>
    </w:p>
    <w:p>
      <w:pPr>
        <w:pStyle w:val="FirstParagraph"/>
      </w:pPr>
      <w:r>
        <w:t xml:space="preserve">O Gerente de riscos revisa os registros de autoavaliação. Se o Gerente de riscos concordar com todas as avaliações, ele define o status de indicador de Análise para Concordo com a avaliação. Se o gerente de risco discordar de qualquer uma das avaliações, ele define o status do indicador de revisão do risco como Discordo da avaliação e o envia de volta para análise.</w:t>
      </w:r>
    </w:p>
    <w:bookmarkEnd w:id="31"/>
    <w:bookmarkStart w:id="32" w:name="Tarefa3Etapasdereavaliaçãoeanálise"/>
    <w:p>
      <w:pPr>
        <w:pStyle w:val="Heading3"/>
      </w:pPr>
      <w:r>
        <w:t xml:space="preserve">Tarefa 3: Etapas de reavaliação e análise</w:t>
      </w:r>
    </w:p>
    <w:p>
      <w:pPr>
        <w:pStyle w:val="FirstParagraph"/>
      </w:pPr>
      <w:r>
        <w:t xml:space="preserve">O gerente ou coordenador da unidade de negócios analisa os riscos rejeitados. Uma vez que as mudanças recomendadas são implementadas pelo gerente da unidade de negócios, eles definem o status Indicador de revisão como Corrigido antes de reenviar a avaliação ao gerente de risco. O Gerente de riscos analisa as alterações e aceita ou rejeita o risco. Se o Gerente de riscos aceitar as atualizações, o registro será publicado. Se o Gerente de riscos rejeitar as atualizações, Tarefa 3 começa novamente.</w:t>
      </w:r>
    </w:p>
    <w:bookmarkEnd w:id="32"/>
    <w:bookmarkStart w:id="33" w:name="Tarefa4Publicar"/>
    <w:p>
      <w:pPr>
        <w:pStyle w:val="Heading3"/>
      </w:pPr>
      <w:r>
        <w:t xml:space="preserve">Tarefa 4: Publicar</w:t>
      </w:r>
    </w:p>
    <w:p>
      <w:pPr>
        <w:pStyle w:val="FirstParagraph"/>
      </w:pPr>
      <w:r>
        <w:t xml:space="preserve">O</w:t>
      </w:r>
      <w:r>
        <w:t xml:space="preserve"> </w:t>
      </w:r>
      <w:r>
        <w:t xml:space="preserve">Archer</w:t>
      </w:r>
      <w:r>
        <w:t xml:space="preserve"> </w:t>
      </w:r>
      <w:r>
        <w:t xml:space="preserve">passa pela avaliação aceita e publica os registros de Processos de negócios, Riscos e Procedimentos de controle com os dados de avaliação. Depois que a publicação for concluída e as alterações forem feitas, a avaliação será concluída e marcada como validada. Se a publicação falhar, o Gerente de riscos pode analisar o problema que impede a publicação, corrigir quaisquer problemas e publicar novamente.</w:t>
      </w:r>
    </w:p>
    <w:p>
      <w:pPr>
        <w:pStyle w:val="BodyText"/>
      </w:pPr>
      <w:r>
        <w:rPr>
          <w:b/>
          <w:bCs/>
        </w:rPr>
        <w:t xml:space="preserve">Observação:</w:t>
      </w:r>
      <w:r>
        <w:t xml:space="preserve"> </w:t>
      </w:r>
      <w:r>
        <w:t xml:space="preserve">Se qualquer conteúdo de avaliação não for publicado, toda a avaliação será atualizada para Com falha Um status Com falha significa que nem todo o conteúdo foi publicado. Os nós de publicação não revertem todos os dados que foram publicados com sucesso. Depois que a autoavaliação é marcada como validada, isso significa que todas as atualizações foram publicadas com sucesso.</w:t>
      </w:r>
    </w:p>
    <w:bookmarkEnd w:id="33"/>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Resources/Images/Solutions/EntOpRisk/eorm_orm_architecture.vsd"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EntOpRisk/eorm_orm_architecture.v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2025-03-06T14:42:31Z</dcterms:created>
  <dcterms:modified xsi:type="dcterms:W3CDTF">2025-03-06T14:42:31Z</dcterms:modified>
</cp:coreProperties>
</file>

<file path=docProps/custom.xml><?xml version="1.0" encoding="utf-8"?>
<Properties xmlns="http://schemas.openxmlformats.org/officeDocument/2006/custom-properties" xmlns:vt="http://schemas.openxmlformats.org/officeDocument/2006/docPropsVTypes"/>
</file>