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Ativando notificações</w:t>
      </w:r>
    </w:p>
    <w:bookmarkStart w:id="30" w:name="mc-main-content"/>
    <w:bookmarkStart w:id="29" w:name="ativando-notificações-1"/>
    <w:p>
      <w:pPr>
        <w:pStyle w:val="Heading1"/>
      </w:pPr>
      <w:bookmarkStart w:id="20" w:name="aanchor1"/>
      <w:bookmarkEnd w:id="20"/>
      <w:r>
        <w:t xml:space="preserve"> </w:t>
      </w:r>
      <w:r>
        <w:t xml:space="preserve">Ativando notificações</w:t>
      </w:r>
    </w:p>
    <w:p>
      <w:pPr>
        <w:pStyle w:val="FirstParagraph"/>
      </w:pPr>
      <w:r>
        <w:t xml:space="preserve">Por padrão, todas as notificações ficam inativas.</w:t>
      </w:r>
    </w:p>
    <w:p>
      <w:pPr>
        <w:pStyle w:val="BodyText"/>
      </w:pPr>
      <w:r>
        <w:t xml:space="preserve">O campo Endereço de remetente padrão é obrigatório para todas as instâncias e todas as configurações. Você configura o servidor de e-mail e o endereço de remetente padrão para cada instância no Painel de controle do</w:t>
      </w:r>
      <w:r>
        <w:t xml:space="preserve"> </w:t>
      </w:r>
      <w:r>
        <w:t xml:space="preserve">Archer</w:t>
      </w:r>
      <w:r>
        <w:t xml:space="preserve">. Consulte "Configurando uma instância para notificações"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Depois de configurar notificações no Painel de controle do</w:t>
      </w:r>
      <w:r>
        <w:t xml:space="preserve"> </w:t>
      </w:r>
      <w:r>
        <w:t xml:space="preserve">Archer</w:t>
      </w:r>
      <w:r>
        <w:t xml:space="preserve">, é preciso configurar também o aplicativo na instância e o recurso Notificações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498f5193ce0e9bf3b67ee85a522b59d5d3788de">
        <w:r>
          <w:rPr>
            <w:rStyle w:val="Hyperlink"/>
          </w:rPr>
          <w:t xml:space="preserve">Habilitar notificações para um aplicativo</w:t>
        </w:r>
      </w:hyperlink>
    </w:p>
    <w:p>
      <w:pPr>
        <w:pStyle w:val="Compact"/>
        <w:numPr>
          <w:ilvl w:val="0"/>
          <w:numId w:val="1001"/>
        </w:numPr>
      </w:pPr>
      <w:hyperlink w:anchor="X786c26dc5681872a3df008e70e8ec96828d99cb">
        <w:r>
          <w:rPr>
            <w:rStyle w:val="Hyperlink"/>
          </w:rPr>
          <w:t xml:space="preserve">Definir as configurações de notificação padrão</w:t>
        </w:r>
      </w:hyperlink>
    </w:p>
    <w:p>
      <w:pPr>
        <w:pStyle w:val="Compact"/>
        <w:numPr>
          <w:ilvl w:val="0"/>
          <w:numId w:val="1001"/>
        </w:numPr>
      </w:pPr>
      <w:hyperlink w:anchor="X90b12c56c72f533e3053b8b843c6dc4a1add236">
        <w:r>
          <w:rPr>
            <w:rStyle w:val="Hyperlink"/>
          </w:rPr>
          <w:t xml:space="preserve">Definir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Regrasdeconfirma%C3%A7%C3%A3odeleitura">
        <w:r>
          <w:rPr>
            <w:rStyle w:val="Hyperlink"/>
          </w:rPr>
          <w:t xml:space="preserve">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6f14c91e22db81bcf0511a5f19775652df3634e">
        <w:r>
          <w:rPr>
            <w:rStyle w:val="Hyperlink"/>
          </w:rPr>
          <w:t xml:space="preserve">Alterar o status das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61d52a0f12987348aee588d8445ae4a67b4a257">
        <w:r>
          <w:rPr>
            <w:rStyle w:val="Hyperlink"/>
          </w:rPr>
          <w:t xml:space="preserve">Definir as regras de confirmação de leitura</w:t>
        </w:r>
      </w:hyperlink>
    </w:p>
    <w:p>
      <w:pPr>
        <w:pStyle w:val="Compact"/>
        <w:numPr>
          <w:ilvl w:val="1"/>
          <w:numId w:val="1002"/>
        </w:numPr>
      </w:pPr>
      <w:hyperlink w:anchor="Xf790ac3cd84eaa03201a432873af37c8b1175fc">
        <w:r>
          <w:rPr>
            <w:rStyle w:val="Hyperlink"/>
          </w:rPr>
          <w:t xml:space="preserve">Atualizar as regras de confirmação de leitura</w:t>
        </w:r>
      </w:hyperlink>
    </w:p>
    <w:bookmarkStart w:id="22" w:name="Habilitarnotificaçõesparaumaplicativo"/>
    <w:p>
      <w:pPr>
        <w:pStyle w:val="Heading2"/>
      </w:pPr>
      <w:r>
        <w:t xml:space="preserve">Habilitar notificações para um aplicativo</w:t>
      </w:r>
    </w:p>
    <w:p>
      <w:pPr>
        <w:pStyle w:val="FirstParagraph"/>
      </w:pPr>
      <w:r>
        <w:t xml:space="preserve">Você pode habilitar ou desabilitar notificações de um aplicativo. Quando as notificações são habilitadas, os usuários finais podem receber notificações sempre que um conteúdo for publicado ou atualizado no aplicativo.</w:t>
      </w:r>
    </w:p>
    <w:p>
      <w:pPr>
        <w:pStyle w:val="BodyText"/>
      </w:pPr>
      <w:r>
        <w:t xml:space="preserve">Você também pode criar uma notificação. Quando você cria um diagrama de notificação para um aplicativo, os usuários finais podem se inscrever no diagrama e receber alertas de e-mail quando registros do aplicativo forem adicionados ou atualizados.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Application Builder &gt; Aplicativos.</w:t>
      </w:r>
    </w:p>
    <w:p>
      <w:pPr>
        <w:pStyle w:val="Compact"/>
        <w:numPr>
          <w:ilvl w:val="0"/>
          <w:numId w:val="1003"/>
        </w:numPr>
      </w:pPr>
      <w:r>
        <w:t xml:space="preserve">Selecione um aplicativo.</w:t>
      </w:r>
    </w:p>
    <w:p>
      <w:pPr>
        <w:pStyle w:val="Compact"/>
        <w:numPr>
          <w:ilvl w:val="0"/>
          <w:numId w:val="1003"/>
        </w:numPr>
      </w:pPr>
      <w:r>
        <w:t xml:space="preserve">Na guia Propriedades, na seção Opções, selecione Ativar notificações.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Salvar</w:t>
      </w:r>
      <w:r>
        <w:t xml:space="preserve"> </w:t>
      </w:r>
      <w:r>
        <w:t xml:space="preserve">para salvar as alterações.</w:t>
      </w:r>
    </w:p>
    <w:bookmarkEnd w:id="22"/>
    <w:bookmarkStart w:id="23" w:name="Xdb3297923e645068d99ac5c26e9c020861cf800"/>
    <w:p>
      <w:pPr>
        <w:pStyle w:val="Heading2"/>
      </w:pPr>
      <w:r>
        <w:t xml:space="preserve">Definir as configurações de notificação padrão</w:t>
      </w:r>
    </w:p>
    <w:p>
      <w:pPr>
        <w:pStyle w:val="FirstParagraph"/>
      </w:pPr>
      <w:r>
        <w:t xml:space="preserve">Esses valores são utilizados para todas as notificações e podem ser sobrepostos por um diagrama de notificação específico.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4"/>
        </w:numPr>
      </w:pPr>
      <w:r>
        <w:t xml:space="preserve">Expanda a seção Configurações padrão de notificação.</w:t>
      </w:r>
    </w:p>
    <w:p>
      <w:pPr>
        <w:pStyle w:val="Compact"/>
        <w:numPr>
          <w:ilvl w:val="0"/>
          <w:numId w:val="1004"/>
        </w:numPr>
      </w:pPr>
      <w:r>
        <w:t xml:space="preserve">Na lista Papel timbrado, selecione o papel timbrado padrão que deseja usar.</w:t>
      </w:r>
    </w:p>
    <w:p>
      <w:pPr>
        <w:pStyle w:val="Compact"/>
        <w:numPr>
          <w:ilvl w:val="0"/>
          <w:numId w:val="1004"/>
        </w:numPr>
      </w:pPr>
      <w:r>
        <w:t xml:space="preserve">Na lista Layout do corpo, selecione o layout desejado e clique em OK.</w:t>
      </w:r>
    </w:p>
    <w:p>
      <w:pPr>
        <w:pStyle w:val="Compact"/>
        <w:numPr>
          <w:ilvl w:val="0"/>
          <w:numId w:val="1004"/>
        </w:numPr>
      </w:pPr>
      <w:r>
        <w:t xml:space="preserve">Em Endereço do remetente, digite o endereço de e-mail padrão.</w:t>
      </w:r>
    </w:p>
    <w:p>
      <w:pPr>
        <w:pStyle w:val="Compact"/>
        <w:numPr>
          <w:ilvl w:val="0"/>
          <w:numId w:val="1004"/>
        </w:numPr>
      </w:pPr>
      <w:r>
        <w:t xml:space="preserve">Em Alias do remetente, digite o alias padrão do e-mail.</w:t>
      </w:r>
    </w:p>
    <w:p>
      <w:pPr>
        <w:pStyle w:val="Compact"/>
        <w:numPr>
          <w:ilvl w:val="0"/>
          <w:numId w:val="1004"/>
        </w:numPr>
      </w:pPr>
      <w:r>
        <w:t xml:space="preserve">Na lista Tipo de anexo, selecione o tipo de anexo padrão.</w:t>
      </w:r>
    </w:p>
    <w:p>
      <w:pPr>
        <w:numPr>
          <w:ilvl w:val="0"/>
          <w:numId w:val="1004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5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e sair, clique em Salvar e fechar.</w:t>
      </w:r>
    </w:p>
    <w:bookmarkEnd w:id="23"/>
    <w:bookmarkStart w:id="28" w:name="Definirregrasdeconfirmaçãodeleitura"/>
    <w:p>
      <w:pPr>
        <w:pStyle w:val="Heading2"/>
      </w:pPr>
      <w:r>
        <w:t xml:space="preserve">Definir regras de confirmação de leitura</w:t>
      </w:r>
    </w:p>
    <w:p>
      <w:pPr>
        <w:pStyle w:val="FirstParagraph"/>
      </w:pPr>
      <w:r>
        <w:t xml:space="preserve">A funcionalidade Confirmação de leitura permite que você monitore o recebimento de notificações. Quando a funcionalidade Aviso de recebimento estiver ativada, digite o endereço de e-mail de retorno para as confirmações de leitura solicitadas dos usuários quando eles abrem um e-mail de notificação. Essas regras também incluem configurações de servidor de e-mail, nome de usuário e senha para a conta de e-mail de retorno.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precisa configurar uma conta de e-mail no servidor de e-mail que recebe as confirmações de leitura dos usuários que indicaram o recebimento de e-mails de notificação. O servidor de e-mail no qual você cria essa conta é provavelmente o mesmo que sua organização usa para notificações de alerta. Depois que o aplicativo receber as informações de confirmação de leitura da conta de e-mail definida, todos os e-mails serão excluídos dessa conta para impedir que ela exceda o limite de armazenamento.</w:t>
      </w:r>
    </w:p>
    <w:bookmarkStart w:id="24" w:name="Regrasdeconfirmaçãodeleitura"/>
    <w:p>
      <w:pPr>
        <w:pStyle w:val="Heading3"/>
      </w:pPr>
      <w:r>
        <w:t xml:space="preserve">Regras de confirmação de leitura</w:t>
      </w:r>
    </w:p>
    <w:p>
      <w:pPr>
        <w:pStyle w:val="TableCaption"/>
      </w:pPr>
      <w:r>
        <w:t xml:space="preserve">A tabela a seguir descreve as propriedades da regra de recebimento de leitura.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ropriedades da regra de recebimento de leitur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a funcionalidade Confirmação de leitura está ativa ou inativa. O status Ativo permite que você configure qualquer diagrama de notificação para solicitar confirmações de leitura quando as notificações são enviadas aos destinatários.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Endereço de e-mail</w:t>
            </w:r>
          </w:p>
        </w:tc>
        <w:tc>
          <w:tcPr/>
          <w:p>
            <w:pPr>
              <w:pStyle w:val="BodyText"/>
            </w:pPr>
            <w:r>
              <w:t xml:space="preserve">Especifica o endereço de e-mail que recebe os avisos de recebimento.</w:t>
            </w:r>
          </w:p>
          <w:p>
            <w:pPr>
              <w:pStyle w:val="BodyText"/>
            </w:pPr>
            <w:r>
              <w:t xml:space="preserve">Não use seu próprio endereço de e-mail como a conta para receber os avisos de recebimento. Todas as notificações serão excluídas da conta de e-mail especificada depois que o aplicativo ou questionário recuperar as informações de confirmação de leitura para evitar que ela exceda o limite de armazenamento. Use um endereço de e-mail específico para receber as confirmações de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do servidor</w:t>
            </w:r>
          </w:p>
        </w:tc>
        <w:tc>
          <w:tcPr/>
          <w:p>
            <w:pPr>
              <w:pStyle w:val="BodyText"/>
            </w:pPr>
            <w:r>
              <w:t xml:space="preserve">Especifica o nome do servidor ou endereço IP do servidor de e-mail em que a conta de e-mail de avisos de recebimento é criada.</w:t>
            </w:r>
          </w:p>
          <w:p>
            <w:pPr>
              <w:pStyle w:val="BodyText"/>
            </w:pPr>
            <w:r>
              <w:t xml:space="preserve">O Nome do servidor é o mesmo nome do servidor ou endereço IP que foi usado ao configurar as Notificações para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Especifica o método utilizado para recuperar notificações do servidor de e-mail.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Porta</w:t>
            </w:r>
          </w:p>
        </w:tc>
        <w:tc>
          <w:tcPr/>
          <w:p>
            <w:pPr>
              <w:pStyle w:val="BodyText"/>
            </w:pPr>
            <w:r>
              <w:t xml:space="preserve">Especifica o número associado ao ponto periférico de comunicação do protocolo selecionado.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de usuário</w:t>
            </w:r>
          </w:p>
        </w:tc>
        <w:tc>
          <w:tcPr/>
          <w:p>
            <w:pPr>
              <w:pStyle w:val="BodyText"/>
            </w:pPr>
            <w:r>
              <w:t xml:space="preserve">Especifica o nome do usuário que tem acesso à conta de e-mail para avisos de recebimento.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Senha</w:t>
            </w:r>
          </w:p>
        </w:tc>
        <w:tc>
          <w:tcPr/>
          <w:p>
            <w:pPr>
              <w:pStyle w:val="BodyText"/>
            </w:pPr>
            <w:r>
              <w:t xml:space="preserve">Especifica a senha que é solicitada para fazer log-on na conta de e-mail para avisos de recebimento.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Testar conexão</w:t>
            </w:r>
          </w:p>
        </w:tc>
        <w:tc>
          <w:tcPr/>
          <w:p>
            <w:pPr>
              <w:pStyle w:val="BodyText"/>
            </w:pPr>
            <w:r>
              <w:t xml:space="preserve">Verifica se as credenciais e informações de conexão inseridas estão corretas.</w:t>
            </w:r>
          </w:p>
          <w:p>
            <w:pPr>
              <w:pStyle w:val="BodyText"/>
            </w:pPr>
            <w:r>
              <w:t xml:space="preserve">Se ocorrer um erro, corrija-o e clique em Testar novamente. Continue esse processo até receber uma mensagem de confirmação indicando sucesso.</w:t>
            </w:r>
          </w:p>
        </w:tc>
      </w:tr>
    </w:tbl>
    <w:bookmarkEnd w:id="24"/>
    <w:bookmarkStart w:id="25" w:name="X19dc8d4d3d7e5e1cad743ad4f41b901c2c2f5db"/>
    <w:p>
      <w:pPr>
        <w:pStyle w:val="Heading3"/>
      </w:pPr>
      <w:r>
        <w:t xml:space="preserve">Alterar o status das regras de confirmação de leitura</w:t>
      </w:r>
    </w:p>
    <w:p>
      <w:pPr>
        <w:pStyle w:val="Compact"/>
        <w:numPr>
          <w:ilvl w:val="0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6"/>
        </w:numPr>
      </w:pPr>
      <w:r>
        <w:t xml:space="preserve">Na seção Propriedades de confirmação de leitura, no campo Status, selecione o status aplicável: Ativo ou Inativo.</w:t>
      </w:r>
    </w:p>
    <w:p>
      <w:pPr>
        <w:numPr>
          <w:ilvl w:val="0"/>
          <w:numId w:val="1006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7"/>
        </w:numPr>
      </w:pPr>
      <w:r>
        <w:t xml:space="preserve">Para salvar e sair, clique em Salvar e fechar.</w:t>
      </w:r>
    </w:p>
    <w:bookmarkEnd w:id="25"/>
    <w:bookmarkStart w:id="26" w:name="Definirasregrasdeconfirmaçãodeleitura"/>
    <w:p>
      <w:pPr>
        <w:pStyle w:val="Heading3"/>
      </w:pPr>
      <w:r>
        <w:t xml:space="preserve">Definir as regras de confirmação de leitura</w:t>
      </w:r>
    </w:p>
    <w:p>
      <w:pPr>
        <w:pStyle w:val="Compact"/>
        <w:numPr>
          <w:ilvl w:val="0"/>
          <w:numId w:val="1008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08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08"/>
        </w:numPr>
      </w:pPr>
      <w:r>
        <w:t xml:space="preserve">No campo Endereço de e-mail, digite o endereço de e-mail receberá as mensagens.</w:t>
      </w:r>
    </w:p>
    <w:p>
      <w:pPr>
        <w:pStyle w:val="Compact"/>
        <w:numPr>
          <w:ilvl w:val="0"/>
          <w:numId w:val="1008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08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08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Teste de novo. Continue esse processo até receber uma mensagem de confirmação indicando sucesso.</w:t>
      </w:r>
    </w:p>
    <w:p>
      <w:pPr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9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9"/>
        </w:numPr>
      </w:pPr>
      <w:r>
        <w:t xml:space="preserve">Para salvar e sair, clique em Salvar e fechar.</w:t>
      </w:r>
    </w:p>
    <w:bookmarkEnd w:id="26"/>
    <w:bookmarkStart w:id="27" w:name="Atualizarasregrasdeconfirmaçãodeleitura"/>
    <w:p>
      <w:pPr>
        <w:pStyle w:val="Heading3"/>
      </w:pPr>
      <w:r>
        <w:t xml:space="preserve">Atualizar as regras de confirmação de leitura</w:t>
      </w:r>
    </w:p>
    <w:p>
      <w:pPr>
        <w:pStyle w:val="Compact"/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 Configurações de Notificações Globais.</w:t>
      </w:r>
    </w:p>
    <w:p>
      <w:pPr>
        <w:pStyle w:val="Compact"/>
        <w:numPr>
          <w:ilvl w:val="0"/>
          <w:numId w:val="1010"/>
        </w:numPr>
      </w:pPr>
      <w:r>
        <w:t xml:space="preserve">Expanda a seção Propriedades de confirmação de leitura.</w:t>
      </w:r>
    </w:p>
    <w:p>
      <w:pPr>
        <w:pStyle w:val="Compact"/>
        <w:numPr>
          <w:ilvl w:val="0"/>
          <w:numId w:val="1010"/>
        </w:numPr>
      </w:pPr>
      <w:r>
        <w:t xml:space="preserve">No campo Endereço de e-mail, digite o endereço de e-mail que receberá as mensagens.</w:t>
      </w:r>
    </w:p>
    <w:p>
      <w:pPr>
        <w:pStyle w:val="Compact"/>
        <w:numPr>
          <w:ilvl w:val="0"/>
          <w:numId w:val="1010"/>
        </w:numPr>
      </w:pPr>
      <w:r>
        <w:t xml:space="preserve">No campo Nome do servidor, digite o nome do servidor ou endereço IP do servidor de e-mail no qual você criou a conta de e-mail para avisos de recebimento.</w:t>
      </w:r>
    </w:p>
    <w:p>
      <w:pPr>
        <w:pStyle w:val="Compact"/>
        <w:numPr>
          <w:ilvl w:val="0"/>
          <w:numId w:val="1010"/>
        </w:numPr>
      </w:pPr>
      <w:r>
        <w:t xml:space="preserve">No campo Porta, digite a porta apropriada para o protocolo selecionado.</w:t>
      </w:r>
    </w:p>
    <w:p>
      <w:pPr>
        <w:pStyle w:val="Compact"/>
        <w:numPr>
          <w:ilvl w:val="0"/>
          <w:numId w:val="1010"/>
        </w:numPr>
      </w:pPr>
      <w:r>
        <w:t xml:space="preserve">No campo Protocolo, selecione o protocolo usado para recuperar e-mails do servidor de e-mail.</w:t>
      </w:r>
    </w:p>
    <w:p>
      <w:pPr>
        <w:pStyle w:val="Compact"/>
        <w:numPr>
          <w:ilvl w:val="0"/>
          <w:numId w:val="1010"/>
        </w:numPr>
      </w:pPr>
      <w:r>
        <w:t xml:space="preserve">No campo Nome de usuário, digite o nome de usuário que tem acesso à conta de e-mail para avisos de recebimento.</w:t>
      </w:r>
    </w:p>
    <w:p>
      <w:pPr>
        <w:pStyle w:val="Compact"/>
        <w:numPr>
          <w:ilvl w:val="0"/>
          <w:numId w:val="1010"/>
        </w:numPr>
      </w:pPr>
      <w:r>
        <w:t xml:space="preserve">No campo Senha, digite a senha que é solicitada para fazer log-on na conta de e-mail para avisos de recebimento.</w:t>
      </w:r>
    </w:p>
    <w:p>
      <w:pPr>
        <w:numPr>
          <w:ilvl w:val="0"/>
          <w:numId w:val="1010"/>
        </w:numPr>
      </w:pPr>
      <w:r>
        <w:t xml:space="preserve">Clique em Testar conexão para verificar se as credenciais e as informações de conexão que você digitou estão corretas.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teste reportar um erro, corrija-o e clique em Teste de novo. Continue esse processo até receber uma mensagem de confirmação indicando sucesso.</w:t>
      </w:r>
    </w:p>
    <w:p>
      <w:pPr>
        <w:numPr>
          <w:ilvl w:val="0"/>
          <w:numId w:val="1010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1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1"/>
        </w:numPr>
      </w:pPr>
      <w:r>
        <w:t xml:space="preserve">Para salvar e sair, clique em Salvar e fechar.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Ativando notificações</dc:title>
  <dc:creator/>
  <cp:keywords/>
  <dcterms:created xsi:type="dcterms:W3CDTF">2025-02-19T12:57:26Z</dcterms:created>
  <dcterms:modified xsi:type="dcterms:W3CDTF">2025-02-19T12:57:26Z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