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Configurando uma instância para Logon único</w:t>
      </w:r>
    </w:p>
    <w:bookmarkStart w:id="36" w:name="mc-main-content"/>
    <w:bookmarkStart w:id="35" w:name="Xa86ce2cf5cfd12dcdc78d3d0341efee95fbbaaa"/>
    <w:p>
      <w:pPr>
        <w:pStyle w:val="Heading1"/>
      </w:pPr>
      <w:r>
        <w:t xml:space="preserve">Configurando uma instância para Logon único</w:t>
      </w:r>
    </w:p>
    <w:p>
      <w:pPr>
        <w:pStyle w:val="FirstParagraph"/>
      </w:pPr>
      <w:r>
        <w:t xml:space="preserve">O Logon único (SSO) reduz a sobrecarga administrativa relacionada a contas de usuário. Com a autenticação SSO habilitada, é possível recuperar informações do perfil de usuário de um servidor de diretórios LDAP no momento da criação da conta. Essa etapa opcional automatiza a configuração de dados básicos do perfil de usuário. Configure o SSL (Secure Sockets Layer) para SSO ou como um método independente. Configure a autenticação SSO para Windows integrado ou para Windows integrado e SSL. A configuração da autenticação exige modificar o arquivo web.config.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69611fda088f8492f908fa4b77c8bea37ae5051">
        <w:r>
          <w:rPr>
            <w:rStyle w:val="Hyperlink"/>
          </w:rPr>
          <w:t xml:space="preserve">Mecanismos de autenticação compatíveis</w:t>
        </w:r>
      </w:hyperlink>
    </w:p>
    <w:p>
      <w:pPr>
        <w:pStyle w:val="Compact"/>
        <w:numPr>
          <w:ilvl w:val="0"/>
          <w:numId w:val="1001"/>
        </w:numPr>
      </w:pPr>
      <w:hyperlink w:anchor="PropriedadesdoLogon%C3%BAnico">
        <w:r>
          <w:rPr>
            <w:rStyle w:val="Hyperlink"/>
          </w:rPr>
          <w:t xml:space="preserve">Propriedades do Logon único</w:t>
        </w:r>
      </w:hyperlink>
    </w:p>
    <w:p>
      <w:pPr>
        <w:pStyle w:val="Compact"/>
        <w:numPr>
          <w:ilvl w:val="0"/>
          <w:numId w:val="1001"/>
        </w:numPr>
      </w:pPr>
      <w:hyperlink w:anchor="Op%C3%A7%C3%B5esdeautentica%C3%A7%C3%A3o">
        <w:r>
          <w:rPr>
            <w:rStyle w:val="Hyperlink"/>
          </w:rPr>
          <w:t xml:space="preserve">Opções de autenticação</w:t>
        </w:r>
      </w:hyperlink>
    </w:p>
    <w:p>
      <w:pPr>
        <w:pStyle w:val="Compact"/>
        <w:numPr>
          <w:ilvl w:val="0"/>
          <w:numId w:val="1001"/>
        </w:numPr>
      </w:pPr>
      <w:hyperlink w:anchor="Procedimentodeconfigura%C3%A7%C3%A3o">
        <w:r>
          <w:rPr>
            <w:rStyle w:val="Hyperlink"/>
          </w:rPr>
          <w:t xml:space="preserve">Procedimento de configuração</w:t>
        </w:r>
      </w:hyperlink>
    </w:p>
    <w:p>
      <w:pPr>
        <w:pStyle w:val="Compact"/>
        <w:numPr>
          <w:ilvl w:val="1"/>
          <w:numId w:val="1002"/>
        </w:numPr>
      </w:pPr>
      <w:hyperlink w:anchor="Xb0bb0153252cae634ce9d85a1b0f5648ae6ab82">
        <w:r>
          <w:rPr>
            <w:rStyle w:val="Hyperlink"/>
          </w:rPr>
          <w:t xml:space="preserve">Tarefa 1: Ativar autenticação para o Logon único</w:t>
        </w:r>
      </w:hyperlink>
    </w:p>
    <w:p>
      <w:pPr>
        <w:pStyle w:val="Compact"/>
        <w:numPr>
          <w:ilvl w:val="1"/>
          <w:numId w:val="1002"/>
        </w:numPr>
      </w:pPr>
      <w:hyperlink w:anchor="Tarefa2ConfigurarSingleSignon">
        <w:r>
          <w:rPr>
            <w:rStyle w:val="Hyperlink"/>
          </w:rPr>
          <w:t xml:space="preserve">Tarefa 2: Configurar Single Sign-on</w:t>
        </w:r>
      </w:hyperlink>
    </w:p>
    <w:p>
      <w:pPr>
        <w:pStyle w:val="Compact"/>
        <w:numPr>
          <w:ilvl w:val="2"/>
          <w:numId w:val="1003"/>
        </w:numPr>
      </w:pPr>
      <w:hyperlink w:anchor="X716987790932dafa8733b64d2f29a6301bd210d">
        <w:r>
          <w:rPr>
            <w:rStyle w:val="Hyperlink"/>
          </w:rPr>
          <w:t xml:space="preserve">Nomes de declaração para a opção Federação</w:t>
        </w:r>
      </w:hyperlink>
    </w:p>
    <w:p>
      <w:pPr>
        <w:pStyle w:val="Compact"/>
        <w:numPr>
          <w:ilvl w:val="1"/>
          <w:numId w:val="1002"/>
        </w:numPr>
      </w:pPr>
      <w:hyperlink w:anchor="X33e2cfddcc3b31a2cd02815263354fd20582d55">
        <w:r>
          <w:rPr>
            <w:rStyle w:val="Hyperlink"/>
          </w:rPr>
          <w:t xml:space="preserve">Tarefa 3: Configurar a autenticação para logon único</w:t>
        </w:r>
      </w:hyperlink>
    </w:p>
    <w:p>
      <w:pPr>
        <w:pStyle w:val="Compact"/>
        <w:numPr>
          <w:ilvl w:val="0"/>
          <w:numId w:val="1001"/>
        </w:numPr>
      </w:pPr>
      <w:hyperlink w:anchor="ConfiguraromodoSAMLSingleSignon">
        <w:r>
          <w:rPr>
            <w:rStyle w:val="Hyperlink"/>
          </w:rPr>
          <w:t xml:space="preserve">Configurar o modo SAML Single Sign-on</w:t>
        </w:r>
      </w:hyperlink>
    </w:p>
    <w:p>
      <w:pPr>
        <w:pStyle w:val="Compact"/>
        <w:numPr>
          <w:ilvl w:val="0"/>
          <w:numId w:val="1001"/>
        </w:numPr>
      </w:pPr>
      <w:hyperlink w:anchor="Xf8c19ad98e375fba9ffa314404b861074cc6cd6">
        <w:r>
          <w:rPr>
            <w:rStyle w:val="Hyperlink"/>
          </w:rPr>
          <w:t xml:space="preserve">Configurar a conexão do provedor de identidade e as configurações de provisionamento de usuários</w:t>
        </w:r>
      </w:hyperlink>
    </w:p>
    <w:p>
      <w:pPr>
        <w:pStyle w:val="Compact"/>
        <w:numPr>
          <w:ilvl w:val="1"/>
          <w:numId w:val="1004"/>
        </w:numPr>
      </w:pPr>
    </w:p>
    <w:p>
      <w:pPr>
        <w:pStyle w:val="Compact"/>
        <w:numPr>
          <w:ilvl w:val="2"/>
          <w:numId w:val="1005"/>
        </w:numPr>
      </w:pPr>
      <w:hyperlink w:anchor="X480884abec12ea82ea59378d779dd7b8988190d">
        <w:r>
          <w:rPr>
            <w:rStyle w:val="Hyperlink"/>
          </w:rPr>
          <w:t xml:space="preserve">Mapeamento de atributo compatível com o Archer para SAML</w:t>
        </w:r>
      </w:hyperlink>
    </w:p>
    <w:bookmarkStart w:id="20" w:name="Mecanismosdeautenticaçãocompatíveis"/>
    <w:p>
      <w:pPr>
        <w:pStyle w:val="Heading2"/>
      </w:pPr>
      <w:r>
        <w:t xml:space="preserve">Mecanismos de autenticação compatíveis</w:t>
      </w:r>
    </w:p>
    <w:p>
      <w:pPr>
        <w:pStyle w:val="FirstParagraph"/>
      </w:pPr>
      <w:r>
        <w:t xml:space="preserve">Archer</w:t>
      </w:r>
      <w:r>
        <w:t xml:space="preserve"> </w:t>
      </w:r>
      <w:r>
        <w:t xml:space="preserve">aceita 2 mecanismos básicos de autenticação: Esquema de log-in nome de usuário/senha (padrão) Configuração SSO, que facilita o login do usuário em ambientes de computação corporativa e é compatível com os produtos de autenticação Web mais conhecidos.</w:t>
      </w:r>
    </w:p>
    <w:p>
      <w:pPr>
        <w:pStyle w:val="BodyText"/>
      </w:pPr>
      <w:r>
        <w:t xml:space="preserve">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fornece controles para habilitar o SSO e selecionar um método de SSO. Ao configurar o SSO, você configura a integração LDAP da página Gerenciar configuração de dados LDAP no recurso Controle de acesso.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sincronização LDAP não está disponível para o</w:t>
      </w:r>
      <w:r>
        <w:t xml:space="preserve"> </w:t>
      </w:r>
      <w:r>
        <w:t xml:space="preserve">Archer</w:t>
      </w:r>
      <w:r>
        <w:t xml:space="preserve"> </w:t>
      </w:r>
      <w:r>
        <w:t xml:space="preserve">SaaS.</w:t>
      </w:r>
    </w:p>
    <w:bookmarkEnd w:id="20"/>
    <w:bookmarkStart w:id="21" w:name="PropriedadesdoLogonúnico"/>
    <w:p>
      <w:pPr>
        <w:pStyle w:val="Heading2"/>
      </w:pPr>
      <w:r>
        <w:t xml:space="preserve">Propriedades do Logon único</w:t>
      </w:r>
    </w:p>
    <w:p>
      <w:pPr>
        <w:pStyle w:val="TableCaption"/>
      </w:pPr>
      <w:r>
        <w:t xml:space="preserve">A seguinte tabela descreve as propriedades de SSO.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seguinte tabela descreve as propriedades de SS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Modo Logon único</w:t>
            </w:r>
          </w:p>
        </w:tc>
        <w:tc>
          <w:tcPr/>
          <w:p>
            <w:pPr>
              <w:pStyle w:val="BodyText"/>
            </w:pPr>
            <w:r>
              <w:t xml:space="preserve">Especifica o método de login do usuário Por padrão, o método está Desativado. Quando você ativa esta opção, o sistema garante acesso ao usuário se ele existir no</w:t>
            </w:r>
            <w:r>
              <w:t xml:space="preserve"> </w:t>
            </w:r>
            <w:r>
              <w:t xml:space="preserve">Archer</w:t>
            </w:r>
            <w:r>
              <w:t xml:space="preserve">. Se o usuário não existir, uma consulta LDAP recuperará as informações do perfil do usuário e criará uma conta.</w:t>
            </w:r>
          </w:p>
          <w:p>
            <w:pPr>
              <w:pStyle w:val="BodyText"/>
            </w:pPr>
            <w:r>
              <w:t xml:space="preserve">As outras opções são: Cabeçalho HTTP. Este método exige um parâmetro de cabeçalho HTTP que identifica o usuário que está tentando acessar o aplicativo. Parâmetro de solicitação. Este método exige um formulário de solicitação ou um parâmetro de string de consulta que identifica o usuário que está tentando acessar o aplicativo. O Windows integrado utiliza a "Autenticação do Windows integrado" incorporada ao IIS (Internet Information Services) que usa as credenciais do usuário via NTLM/Active Directory.Federação. Este método permite que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processe declarações federadas do Windows a partir dos Serviços de Federação do Active Directory (ADFS). Use a Federação para processar declarações geradas diretamente do ADFS. Você também pode configurar o ADFS como provedor de serviços para um provedor de identidade (IDP) SAML 2.0 e converter as asserções SAML 2.0 em declarações federadas.SAML. Este método permite que você configure um provedor compatível com SAML 2.0 para funcionar com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 autenticar com base em asserções SAML de IDPs. Use o ADFS como o provedor de serviços para a opção Federação.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Parâmetro do nome de usuário</w:t>
            </w:r>
          </w:p>
        </w:tc>
        <w:tc>
          <w:tcPr/>
          <w:p>
            <w:pPr>
              <w:pStyle w:val="BodyText"/>
            </w:pPr>
            <w:r>
              <w:t xml:space="preserve">Especifica o nome de usuário de quem está fazendo login no</w:t>
            </w:r>
            <w:r>
              <w:t xml:space="preserve"> </w:t>
            </w:r>
            <w:r>
              <w:t xml:space="preserve">Archer</w:t>
            </w:r>
            <w:r>
              <w:t xml:space="preserve">. Esta opção será obrigatória quando você tiver selecionado o método Parâmetro de solicitação ou Cabeçalho HTTP como Modo Logon único.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Parâmetro do domínio</w:t>
            </w:r>
          </w:p>
        </w:tc>
        <w:tc>
          <w:tcPr/>
          <w:p>
            <w:pPr>
              <w:pStyle w:val="BodyText"/>
            </w:pPr>
            <w:r>
              <w:t xml:space="preserve">Especifica o domínio ao qual o usuário pode se conectar. Esta opção é obrigatória quando os métodos Parâmetro de solicitação ou Cabeçalho HTTP estão especificados como Modo Logon único.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Permitir desvio manual</w:t>
            </w:r>
          </w:p>
        </w:tc>
        <w:tc>
          <w:tcPr/>
          <w:p>
            <w:pPr>
              <w:pStyle w:val="BodyText"/>
            </w:pPr>
            <w:r>
              <w:t xml:space="preserve">Ativa o login manual. Os usuários podem se conectar ao sistema manualmente adicionando o parâmetro manuallogin com o valor true para string de consulta transmitida a default.aspx. Por exemplo, https://mycompany.archerirm.us/default.aspx?manuallogin=true.</w:t>
            </w:r>
          </w:p>
          <w:p>
            <w:pPr>
              <w:pStyle w:val="BodyText"/>
            </w:pPr>
            <w:r>
              <w:t xml:space="preserve">Este parâmetro é aplicável às instalações Archer SaaS e às instalações no local do Archer.</w:t>
            </w:r>
          </w:p>
          <w:p>
            <w:pPr>
              <w:pStyle w:val="BodyText"/>
            </w:pPr>
            <w:r>
              <w:t xml:space="preserve">Quando este parâmetro está na string de consulta, os usuários veem a caixa de diálogo Log-in em vez de transmitir as credenciais de usuário ao aplicativo. Esta opção beneficia um administrador do sistema que faz login com a conta de usuário do Administrador do sistema em vez de fazer com que o SSO envie as credenciais da conta de usuário pessoal.</w:t>
            </w:r>
          </w:p>
        </w:tc>
      </w:tr>
    </w:tbl>
    <w:bookmarkEnd w:id="21"/>
    <w:bookmarkStart w:id="22" w:name="Opçõesdeautenticação"/>
    <w:p>
      <w:pPr>
        <w:pStyle w:val="Heading2"/>
      </w:pPr>
      <w:r>
        <w:t xml:space="preserve">Opções de autenticação</w:t>
      </w:r>
    </w:p>
    <w:p>
      <w:pPr>
        <w:pStyle w:val="Compact"/>
        <w:numPr>
          <w:ilvl w:val="0"/>
          <w:numId w:val="1006"/>
        </w:numPr>
      </w:pPr>
      <w:r>
        <w:t xml:space="preserve">SSO para Windows integrado apenas</w:t>
      </w:r>
    </w:p>
    <w:p>
      <w:pPr>
        <w:pStyle w:val="Compact"/>
        <w:numPr>
          <w:ilvl w:val="0"/>
          <w:numId w:val="1006"/>
        </w:numPr>
      </w:pPr>
      <w:r>
        <w:t xml:space="preserve">SSO para Windows integrado com SSL</w:t>
      </w:r>
    </w:p>
    <w:p>
      <w:pPr>
        <w:pStyle w:val="Compact"/>
        <w:numPr>
          <w:ilvl w:val="0"/>
          <w:numId w:val="1006"/>
        </w:numPr>
      </w:pPr>
      <w:r>
        <w:t xml:space="preserve">SSL apenas</w:t>
      </w:r>
    </w:p>
    <w:bookmarkEnd w:id="22"/>
    <w:bookmarkStart w:id="30" w:name="Procedimentodeconfiguração"/>
    <w:p>
      <w:pPr>
        <w:pStyle w:val="Heading2"/>
      </w:pPr>
      <w:r>
        <w:t xml:space="preserve">Procedimento de configuração</w:t>
      </w:r>
    </w:p>
    <w:bookmarkStart w:id="24" w:name="Tarefa1AtivarautenticaçãoparaoLogonúnico"/>
    <w:p>
      <w:pPr>
        <w:pStyle w:val="Heading3"/>
      </w:pPr>
      <w:r>
        <w:t xml:space="preserve">Tarefa 1: Ativar autenticação para o Logon único</w:t>
      </w:r>
    </w:p>
    <w:p>
      <w:pPr>
        <w:pStyle w:val="Compact"/>
        <w:numPr>
          <w:ilvl w:val="0"/>
          <w:numId w:val="1007"/>
        </w:numPr>
      </w:pPr>
      <w:r>
        <w:t xml:space="preserve">Vá para o Gerenciador de IIS (Internet Information Services, serviços de informações da internet).</w:t>
      </w:r>
    </w:p>
    <w:p>
      <w:pPr>
        <w:numPr>
          <w:ilvl w:val="0"/>
          <w:numId w:val="1007"/>
        </w:numPr>
      </w:pPr>
      <w:r>
        <w:t xml:space="preserve">Habilite a autenticação para os seguintes modos SSO para a conexão da área de trabalho atual do servidor:</w:t>
      </w:r>
    </w:p>
    <w:p>
      <w:pPr>
        <w:pStyle w:val="Compact"/>
        <w:numPr>
          <w:ilvl w:val="1"/>
          <w:numId w:val="1008"/>
        </w:numPr>
      </w:pPr>
      <w:r>
        <w:t xml:space="preserve">Para cabeçalho HTTP, habilite a Autenticação anônima.</w:t>
      </w:r>
    </w:p>
    <w:p>
      <w:pPr>
        <w:pStyle w:val="Compact"/>
        <w:numPr>
          <w:ilvl w:val="1"/>
          <w:numId w:val="1008"/>
        </w:numPr>
      </w:pPr>
      <w:r>
        <w:t xml:space="preserve">Para o parâmetro de solicitação, habilite a Autenticação anônima.</w:t>
      </w:r>
    </w:p>
    <w:p>
      <w:pPr>
        <w:pStyle w:val="Compact"/>
        <w:numPr>
          <w:ilvl w:val="1"/>
          <w:numId w:val="1008"/>
        </w:numPr>
      </w:pPr>
      <w:r>
        <w:t xml:space="preserve">Para a opção integrada com o Windows, habilite a Autenticação do Windows. Para obter mais informações, consulte</w:t>
      </w:r>
      <w:r>
        <w:t xml:space="preserve"> </w:t>
      </w:r>
      <w:hyperlink r:id="rId23">
        <w:r>
          <w:rPr>
            <w:rStyle w:val="Hyperlink"/>
          </w:rPr>
          <w:t xml:space="preserve">Autenticação do Windows</w:t>
        </w:r>
      </w:hyperlink>
      <w:r>
        <w:t xml:space="preserve"> </w:t>
      </w:r>
      <w:r>
        <w:t xml:space="preserve">na Ajuda do Archer Platform.</w:t>
      </w:r>
    </w:p>
    <w:p>
      <w:pPr>
        <w:pStyle w:val="Compact"/>
        <w:numPr>
          <w:ilvl w:val="1"/>
          <w:numId w:val="1008"/>
        </w:numPr>
      </w:pPr>
      <w:r>
        <w:t xml:space="preserve">Para a federação, habilite a autenticação anônima.</w:t>
      </w:r>
    </w:p>
    <w:p>
      <w:pPr>
        <w:pStyle w:val="Compact"/>
        <w:numPr>
          <w:ilvl w:val="1"/>
          <w:numId w:val="1008"/>
        </w:numPr>
      </w:pPr>
      <w:r>
        <w:t xml:space="preserve">Para SAML, habilite a Autenticação anônima.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exige que somente 1 tipo de autenticação seja habilitado por vez.</w:t>
      </w:r>
    </w:p>
    <w:p>
      <w:pPr>
        <w:pStyle w:val="Compact"/>
        <w:numPr>
          <w:ilvl w:val="0"/>
          <w:numId w:val="1007"/>
        </w:numPr>
      </w:pPr>
      <w:r>
        <w:t xml:space="preserve">No Painel de controle do</w:t>
      </w:r>
      <w:r>
        <w:t xml:space="preserve"> </w:t>
      </w:r>
      <w:r>
        <w:t xml:space="preserve">Archer</w:t>
      </w:r>
      <w:r>
        <w:t xml:space="preserve">, especifique e depois habilite a instância para a qual você está configurando o SSO.</w:t>
      </w:r>
    </w:p>
    <w:bookmarkEnd w:id="24"/>
    <w:bookmarkStart w:id="28" w:name="Tarefa2ConfigurarSingleSignon"/>
    <w:p>
      <w:pPr>
        <w:pStyle w:val="Heading3"/>
      </w:pPr>
      <w:r>
        <w:t xml:space="preserve">Tarefa 2: Configurar Single Sign-on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deve ter direitos de administrador do sistema no servidor que está executando o aplicativo da Web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Clique na guia Logon único da instância que você deseja configurar.</w:t>
      </w:r>
    </w:p>
    <w:p>
      <w:pPr>
        <w:pStyle w:val="Compact"/>
        <w:numPr>
          <w:ilvl w:val="1"/>
          <w:numId w:val="1010"/>
        </w:numPr>
      </w:pPr>
      <w:r>
        <w:t xml:space="preserve">Abra o</w:t>
      </w:r>
      <w:r>
        <w:t xml:space="preserve"> </w:t>
      </w:r>
      <w:r>
        <w:t xml:space="preserve">Archer</w:t>
      </w:r>
      <w:r>
        <w:t xml:space="preserve"> </w:t>
      </w:r>
      <w:r>
        <w:t xml:space="preserve">Control Panel.</w:t>
      </w:r>
    </w:p>
    <w:p>
      <w:pPr>
        <w:pStyle w:val="Compact"/>
        <w:numPr>
          <w:ilvl w:val="1"/>
          <w:numId w:val="1010"/>
        </w:numPr>
      </w:pPr>
      <w:r>
        <w:t xml:space="preserve">Na lista Gerenciamento de instâncias, clique duas vezes na Instância.</w:t>
      </w:r>
    </w:p>
    <w:p>
      <w:pPr>
        <w:pStyle w:val="Compact"/>
        <w:numPr>
          <w:ilvl w:val="0"/>
          <w:numId w:val="1009"/>
        </w:numPr>
      </w:pPr>
      <w:r>
        <w:t xml:space="preserve">No campo Modo Logon único, selecione uma das seguintes opções:</w:t>
      </w:r>
    </w:p>
    <w:p>
      <w:pPr>
        <w:pStyle w:val="Compact"/>
        <w:numPr>
          <w:ilvl w:val="1"/>
          <w:numId w:val="1011"/>
        </w:numPr>
      </w:pPr>
      <w:r>
        <w:t xml:space="preserve">Cabeçalho HTTP</w:t>
      </w:r>
    </w:p>
    <w:p>
      <w:pPr>
        <w:pStyle w:val="Compact"/>
        <w:numPr>
          <w:ilvl w:val="1"/>
          <w:numId w:val="1011"/>
        </w:numPr>
      </w:pPr>
      <w:r>
        <w:t xml:space="preserve">Parâmetro de solicitação</w:t>
      </w:r>
    </w:p>
    <w:p>
      <w:pPr>
        <w:pStyle w:val="Compact"/>
        <w:numPr>
          <w:ilvl w:val="1"/>
          <w:numId w:val="1011"/>
        </w:numPr>
      </w:pPr>
      <w:r>
        <w:t xml:space="preserve">Integrado com o Windows</w:t>
      </w:r>
    </w:p>
    <w:p>
      <w:pPr>
        <w:pStyle w:val="Compact"/>
        <w:numPr>
          <w:ilvl w:val="1"/>
          <w:numId w:val="1011"/>
        </w:numPr>
      </w:pPr>
      <w:r>
        <w:t xml:space="preserve">Federação</w:t>
      </w:r>
    </w:p>
    <w:p>
      <w:pPr>
        <w:pStyle w:val="Compact"/>
        <w:numPr>
          <w:ilvl w:val="1"/>
          <w:numId w:val="1011"/>
        </w:numPr>
      </w:pPr>
      <w:r>
        <w:t xml:space="preserve">SAML</w:t>
      </w:r>
    </w:p>
    <w:p>
      <w:pPr>
        <w:pStyle w:val="Compact"/>
        <w:numPr>
          <w:ilvl w:val="0"/>
          <w:numId w:val="1009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2"/>
        </w:numPr>
      </w:pPr>
      <w:r>
        <w:t xml:space="preserve">Se tiver selecionado Parâmetro de solicitação ou Cabeçalho HTTP, vá para a próxima etapa.</w:t>
      </w:r>
    </w:p>
    <w:p>
      <w:pPr>
        <w:pStyle w:val="Compact"/>
        <w:numPr>
          <w:ilvl w:val="1"/>
          <w:numId w:val="1012"/>
        </w:numPr>
      </w:pPr>
      <w:r>
        <w:t xml:space="preserve">Se tiver selecionado o método Windows Integrated, siga para a etapa 6.</w:t>
      </w:r>
    </w:p>
    <w:p>
      <w:pPr>
        <w:pStyle w:val="Compact"/>
        <w:numPr>
          <w:ilvl w:val="1"/>
          <w:numId w:val="1012"/>
        </w:numPr>
      </w:pPr>
      <w:r>
        <w:t xml:space="preserve">Se tiver selecionado Federação, vá para a etapa 7.</w:t>
      </w:r>
    </w:p>
    <w:p>
      <w:pPr>
        <w:pStyle w:val="Compact"/>
        <w:numPr>
          <w:ilvl w:val="1"/>
          <w:numId w:val="1012"/>
        </w:numPr>
      </w:pPr>
      <w:r>
        <w:t xml:space="preserve">Se você selecionou SAML, vá para</w:t>
      </w:r>
      <w:r>
        <w:t xml:space="preserve"> </w:t>
      </w:r>
      <w:hyperlink w:anchor="ConfigureSAMLSSO">
        <w:r>
          <w:rPr>
            <w:rStyle w:val="Hyperlink"/>
          </w:rPr>
          <w:t xml:space="preserve">Configurando o modo Logon único para SAML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No campo Parâmetro de nome do usuário, digite o nome do logon do usuário.</w:t>
      </w:r>
    </w:p>
    <w:p>
      <w:pPr>
        <w:pStyle w:val="Compact"/>
        <w:numPr>
          <w:ilvl w:val="0"/>
          <w:numId w:val="1009"/>
        </w:numPr>
      </w:pPr>
      <w:r>
        <w:t xml:space="preserve">No campo Parâmetro de domínio, digite o domínio no qual o usuário pode fazer login.</w:t>
      </w:r>
    </w:p>
    <w:p>
      <w:pPr>
        <w:pStyle w:val="Compact"/>
        <w:numPr>
          <w:ilvl w:val="0"/>
          <w:numId w:val="1009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3"/>
        </w:numPr>
      </w:pPr>
      <w:r>
        <w:t xml:space="preserve">Para habilitar o login manual, clique em Permitir desvio manual e vá para a etapa 14.</w:t>
      </w:r>
    </w:p>
    <w:p>
      <w:pPr>
        <w:pStyle w:val="Compact"/>
        <w:numPr>
          <w:ilvl w:val="1"/>
          <w:numId w:val="1013"/>
        </w:numPr>
      </w:pPr>
      <w:r>
        <w:t xml:space="preserve">Para forçar o SSO independentemente do usuário, vá para a etapa 14.</w:t>
      </w:r>
    </w:p>
    <w:p>
      <w:pPr>
        <w:pStyle w:val="Compact"/>
        <w:numPr>
          <w:ilvl w:val="0"/>
          <w:numId w:val="1009"/>
        </w:numPr>
      </w:pPr>
      <w:r>
        <w:t xml:space="preserve">Configure as seguintes opções na seção Logon único:</w:t>
      </w:r>
    </w:p>
    <w:p>
      <w:pPr>
        <w:numPr>
          <w:ilvl w:val="1"/>
          <w:numId w:val="1014"/>
        </w:numPr>
      </w:pPr>
      <w:r>
        <w:t xml:space="preserve">Selecione Substituir metadados de Federação para ignorar esses metadados no nível das instalações, o que permite que as instâncias utilizem outro provedor de serviços do ADFS.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qualquer alteração no nome da entidade ou em qualquer certificado no ADFS exige que os metadados sejam importados novamente para o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1"/>
          <w:numId w:val="1014"/>
        </w:numPr>
      </w:pPr>
      <w:r>
        <w:t xml:space="preserve">Se você selecionou Substituir metadados de Federação, clique em Selecionar para ir para outro arquivo .xml de metadados e, em seguida, selecione o arquivo.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obter instruções sobre como obter federationmetadata.xml, consulte a documentação do provedor de serviços. Por exemplo, no ADFS, a URL para obter o arquivo .xml será exibido como https://{server}/FederationMetadata/2007-06/FederationMetadata.xml, em que</w:t>
      </w:r>
      <w:r>
        <w:t xml:space="preserve"> </w:t>
      </w:r>
      <w:r>
        <w:rPr>
          <w:i/>
          <w:iCs/>
        </w:rPr>
        <w:t xml:space="preserve">server</w:t>
      </w:r>
      <w:r>
        <w:t xml:space="preserve"> </w:t>
      </w:r>
      <w:r>
        <w:t xml:space="preserve">é o nome do seu provedor de serviços.</w:t>
      </w:r>
    </w:p>
    <w:p>
      <w:pPr>
        <w:pStyle w:val="Compact"/>
        <w:numPr>
          <w:ilvl w:val="1"/>
          <w:numId w:val="1014"/>
        </w:numPr>
      </w:pPr>
      <w:r>
        <w:t xml:space="preserve">No campo Identificador de parte dependente, informe esse identificador, fornecido no ADFS para essa instância.</w:t>
      </w:r>
    </w:p>
    <w:p>
      <w:pPr>
        <w:numPr>
          <w:ilvl w:val="1"/>
          <w:numId w:val="1014"/>
        </w:numPr>
      </w:pPr>
      <w:r>
        <w:t xml:space="preserve">No campo Parâmetro de realm inicial, digite o nome que você criou para identificar seu realm. Esse nome é o identificador usado na URL intuitiva. A sintaxe para essa string é:</w:t>
      </w:r>
    </w:p>
    <w:p>
      <w:pPr>
        <w:numPr>
          <w:ilvl w:val="1"/>
          <w:numId w:val="1000"/>
        </w:numPr>
      </w:pPr>
      <w:r>
        <w:t xml:space="preserve">https://{servername}/../Default.aspx?&lt;HomeRealmIdentifier&gt;=&lt;IdpRealmName&gt;</w:t>
      </w:r>
    </w:p>
    <w:p>
      <w:pPr>
        <w:numPr>
          <w:ilvl w:val="1"/>
          <w:numId w:val="1000"/>
        </w:numPr>
      </w:pPr>
      <w:r>
        <w:t xml:space="preserve">Por exemplo, para ignorar o prompt do provedor de identidade, você pode passar o realm interno como um parâmetro:</w:t>
      </w:r>
    </w:p>
    <w:p>
      <w:pPr>
        <w:numPr>
          <w:ilvl w:val="1"/>
          <w:numId w:val="1000"/>
        </w:numPr>
      </w:pPr>
      <w:r>
        <w:t xml:space="preserve">https://{servername}/../Default.aspx?Realm=ADFS-IDP</w:t>
      </w:r>
    </w:p>
    <w:p>
      <w:pPr>
        <w:pStyle w:val="Compact"/>
        <w:numPr>
          <w:ilvl w:val="0"/>
          <w:numId w:val="1009"/>
        </w:numPr>
      </w:pPr>
      <w:r>
        <w:t xml:space="preserve">Configure as seguintes opções na seção Provedores de identidade:</w:t>
      </w:r>
    </w:p>
    <w:p>
      <w:pPr>
        <w:pStyle w:val="Compact"/>
        <w:numPr>
          <w:ilvl w:val="1"/>
          <w:numId w:val="1015"/>
        </w:numPr>
      </w:pPr>
      <w:r>
        <w:t xml:space="preserve">No campo Cabeçalho da página de decisão, digite o texto a ser exibido como cabeçalho na parte superior da página de decisão.</w:t>
      </w:r>
    </w:p>
    <w:p>
      <w:pPr>
        <w:pStyle w:val="Compact"/>
        <w:numPr>
          <w:ilvl w:val="1"/>
          <w:numId w:val="1015"/>
        </w:numPr>
      </w:pPr>
      <w:r>
        <w:t xml:space="preserve">No campo Rótulo suspenso, digite o texto que deseja exibir na página de decisão como o rótulo do menu suspenso que lista todos os provedores de identidade.</w:t>
      </w:r>
    </w:p>
    <w:p>
      <w:pPr>
        <w:pStyle w:val="Compact"/>
        <w:numPr>
          <w:ilvl w:val="1"/>
          <w:numId w:val="1015"/>
        </w:numPr>
      </w:pPr>
      <w:r>
        <w:t xml:space="preserve">No campo Provedor de identidade, selecione um IDP existente. Preencha os 3 campos a seguir para adicionar um IDP. Na tabela Federação no final deste procedimento, consulte nomes de declaração compatíveis com o</w:t>
      </w:r>
      <w:r>
        <w:t xml:space="preserve"> </w:t>
      </w:r>
      <w:r>
        <w:t xml:space="preserve">Archer</w:t>
      </w:r>
      <w:r>
        <w:t xml:space="preserve">:</w:t>
      </w:r>
    </w:p>
    <w:p>
      <w:pPr>
        <w:pStyle w:val="Compact"/>
        <w:numPr>
          <w:ilvl w:val="2"/>
          <w:numId w:val="1016"/>
        </w:numPr>
      </w:pPr>
      <w:r>
        <w:t xml:space="preserve">No campo Realm, digite o nome do realm para o novo provedor de identidade.</w:t>
      </w:r>
    </w:p>
    <w:p>
      <w:pPr>
        <w:numPr>
          <w:ilvl w:val="2"/>
          <w:numId w:val="1016"/>
        </w:numPr>
      </w:pPr>
      <w:r>
        <w:t xml:space="preserve">É possível criar um link para o site a seguir para mostrar como configurar o provedor de declaração e a terceira parte confiável no ADFS:</w:t>
      </w:r>
    </w:p>
    <w:p>
      <w:pPr>
        <w:numPr>
          <w:ilvl w:val="2"/>
          <w:numId w:val="1000"/>
        </w:numPr>
      </w:pPr>
      <w:hyperlink r:id="rId25">
        <w:r>
          <w:rPr>
            <w:rStyle w:val="Hyperlink"/>
          </w:rPr>
          <w:t xml:space="preserve">https://technet.microsoft.com/en-us/library/adfs2-step-by-step-guides(v=ws.10).aspx</w:t>
        </w:r>
      </w:hyperlink>
    </w:p>
    <w:p>
      <w:pPr>
        <w:pStyle w:val="Compact"/>
        <w:numPr>
          <w:ilvl w:val="2"/>
          <w:numId w:val="1016"/>
        </w:numPr>
      </w:pPr>
      <w:r>
        <w:t xml:space="preserve">No campo Identificador, informe o identificador do provedor de requisição apropriado que é fornecido no ADFS de um provedor de identidade específico. Para obter uma lista completa das declarações compatíveis com o</w:t>
      </w:r>
      <w:r>
        <w:t xml:space="preserve"> </w:t>
      </w:r>
      <w:r>
        <w:t xml:space="preserve">Archer</w:t>
      </w:r>
      <w:r>
        <w:t xml:space="preserve">, consulte a</w:t>
      </w:r>
      <w:r>
        <w:t xml:space="preserve"> </w:t>
      </w:r>
      <w:hyperlink w:anchor="Claim">
        <w:r>
          <w:rPr>
            <w:rStyle w:val="Hyperlink"/>
          </w:rPr>
          <w:t xml:space="preserve">tabela Nomes de declaração para a opção Federação</w:t>
        </w:r>
      </w:hyperlink>
      <w:r>
        <w:t xml:space="preserve"> </w:t>
      </w:r>
      <w:r>
        <w:t xml:space="preserve">abaixo.</w:t>
      </w:r>
    </w:p>
    <w:p>
      <w:pPr>
        <w:pStyle w:val="Compact"/>
        <w:numPr>
          <w:ilvl w:val="2"/>
          <w:numId w:val="1016"/>
        </w:numPr>
      </w:pPr>
      <w:r>
        <w:t xml:space="preserve">No campo Nome de exibição, digite o nome de exibição do novo identificador, que mostrará a lista suspensa da página de decisão.</w:t>
      </w:r>
    </w:p>
    <w:p>
      <w:pPr>
        <w:numPr>
          <w:ilvl w:val="1"/>
          <w:numId w:val="1015"/>
        </w:numPr>
      </w:pPr>
      <w:r>
        <w:t xml:space="preserve">Para adicionar mais provedores, clique em</w:t>
      </w:r>
      <w:r>
        <w:t xml:space="preserve"> </w:t>
      </w:r>
      <w:r>
        <w:t xml:space="preserve">Adicionar</w:t>
      </w:r>
      <w:r>
        <w:t xml:space="preserve"> </w:t>
      </w:r>
      <w:r>
        <w:t xml:space="preserve">e preencha os mesmos 3 campos para cada provedor.</w:t>
      </w:r>
    </w:p>
    <w:p>
      <w:pPr>
        <w:pStyle w:val="Compact"/>
        <w:numPr>
          <w:ilvl w:val="0"/>
          <w:numId w:val="1009"/>
        </w:numPr>
      </w:pPr>
      <w:r>
        <w:t xml:space="preserve">(Opcional) No campo Em erro de login, digite a URL da página que você criou. O usuário será redirecionado aqui se houver falha de login.</w:t>
      </w:r>
    </w:p>
    <w:p>
      <w:pPr>
        <w:pStyle w:val="Compact"/>
        <w:numPr>
          <w:ilvl w:val="0"/>
          <w:numId w:val="1009"/>
        </w:numPr>
      </w:pPr>
      <w:r>
        <w:t xml:space="preserve">(Opcional) No campo Em usuário não encontrado, digite a URL da página que você criou. O usuário será redirecionado aqui se não for possível encontrar o nome de usuário no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(Opcional) No campo Em falha de provisionamento, digite a URL da página que você criou. O usuário será redirecionado aqui se houver falha de provisionamento. Por exemplo, se você excedeu o número máximo de usuários para sua instância.</w:t>
      </w:r>
    </w:p>
    <w:p>
      <w:pPr>
        <w:pStyle w:val="Compact"/>
        <w:numPr>
          <w:ilvl w:val="0"/>
          <w:numId w:val="1009"/>
        </w:numPr>
      </w:pPr>
      <w:r>
        <w:t xml:space="preserve">Selecione as Configurações de provisionamento do IDP selecionado, conforme apropriado.</w:t>
      </w:r>
    </w:p>
    <w:p>
      <w:pPr>
        <w:pStyle w:val="Compact"/>
        <w:numPr>
          <w:ilvl w:val="0"/>
          <w:numId w:val="1009"/>
        </w:numPr>
      </w:pPr>
      <w:r>
        <w:t xml:space="preserve">Digite o nome, sobrenome e função de usuário padrão que o</w:t>
      </w:r>
      <w:r>
        <w:t xml:space="preserve"> </w:t>
      </w:r>
      <w:r>
        <w:t xml:space="preserve">Archer</w:t>
      </w:r>
      <w:r>
        <w:t xml:space="preserve"> </w:t>
      </w:r>
      <w:r>
        <w:t xml:space="preserve">usa se nenhum nome e função são especificados no momento do provisionamento. Você poderá editar esses valores mais tarde para o novo usuário.</w:t>
      </w:r>
    </w:p>
    <w:p>
      <w:pPr>
        <w:pStyle w:val="Compact"/>
        <w:numPr>
          <w:ilvl w:val="0"/>
          <w:numId w:val="1009"/>
        </w:numPr>
      </w:pPr>
      <w:r>
        <w:t xml:space="preserve">Na barra de ferramentas, clique em Salvar.</w:t>
      </w:r>
    </w:p>
    <w:bookmarkStart w:id="27" w:name="NomesdedeclaraçãoparaaopçãoFederação"/>
    <w:p>
      <w:pPr>
        <w:pStyle w:val="Heading4"/>
      </w:pPr>
      <w:bookmarkStart w:id="26" w:name="Claim"/>
      <w:bookmarkEnd w:id="26"/>
      <w:r>
        <w:t xml:space="preserve"> </w:t>
      </w:r>
      <w:r>
        <w:t xml:space="preserve">Nomes de declaração para a opção Federação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ADFS espera que as requisições estejam em formato URL, por exemplo http://schemas.xmlsoap.org/claims/Group.</w:t>
      </w:r>
    </w:p>
    <w:p>
      <w:pPr>
        <w:pStyle w:val="TableCaption"/>
      </w:pPr>
      <w:r>
        <w:t xml:space="preserve">A tabela a seguir contém informações de mapeamento de declarações. Os itens marcados com um asterisco (*) são obrigatórios.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contém informações de mapeamento de declarações. Os itens marcados com um asterisco (*) são obrigatóri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Archer</w:t>
            </w:r>
            <w:r>
              <w:t xml:space="preserve">Nome do campo</w:t>
            </w:r>
          </w:p>
        </w:tc>
        <w:tc>
          <w:tcPr/>
          <w:p>
            <w:pPr>
              <w:pStyle w:val="BodyText"/>
            </w:pPr>
            <w:r>
              <w:t xml:space="preserve">Nome/namespace da requisição compatível com o</w:t>
            </w:r>
            <w:r>
              <w:t xml:space="preserve"> </w:t>
            </w:r>
            <w:r>
              <w:t xml:space="preserve">Archer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Informações de identidade do usuário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de usuário*</w:t>
            </w:r>
          </w:p>
        </w:tc>
        <w:tc>
          <w:tcPr/>
          <w:p>
            <w:pPr>
              <w:pStyle w:val="BodyText"/>
            </w:pPr>
            <w:r>
              <w:t xml:space="preserve">UPN*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Domínio</w:t>
            </w:r>
          </w:p>
        </w:tc>
        <w:tc>
          <w:tcPr/>
          <w:p>
            <w:pPr>
              <w:pStyle w:val="BodyText"/>
            </w:pPr>
            <w:r>
              <w:t xml:space="preserve">UserDomain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FirstName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Sobrenome</w:t>
            </w:r>
          </w:p>
        </w:tc>
        <w:tc>
          <w:tcPr/>
          <w:p>
            <w:pPr>
              <w:pStyle w:val="BodyText"/>
            </w:pPr>
            <w:r>
              <w:t xml:space="preserve">Sobrenome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Segundo nome</w:t>
            </w:r>
          </w:p>
        </w:tc>
        <w:tc>
          <w:tcPr/>
          <w:p>
            <w:pPr>
              <w:pStyle w:val="BodyText"/>
            </w:pPr>
            <w:r>
              <w:t xml:space="preserve">MiddleName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Título</w:t>
            </w:r>
          </w:p>
        </w:tc>
        <w:tc>
          <w:tcPr/>
          <w:p>
            <w:pPr>
              <w:pStyle w:val="BodyText"/>
            </w:pPr>
            <w:r>
              <w:t xml:space="preserve">Título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Detalhes de contato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de e-mail</w:t>
            </w:r>
          </w:p>
        </w:tc>
        <w:tc>
          <w:tcPr/>
          <w:p>
            <w:pPr>
              <w:pStyle w:val="BodyText"/>
            </w:pPr>
            <w:r>
              <w:t xml:space="preserve">EmailAddress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Telefone</w:t>
            </w:r>
          </w:p>
        </w:tc>
        <w:tc>
          <w:tcPr/>
          <w:p>
            <w:pPr>
              <w:pStyle w:val="BodyText"/>
            </w:pPr>
            <w:r>
              <w:t xml:space="preserve">PhoneNumber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da empresa</w:t>
            </w:r>
          </w:p>
        </w:tc>
        <w:tc>
          <w:tcPr/>
          <w:p>
            <w:pPr>
              <w:pStyle w:val="BodyText"/>
            </w:pPr>
            <w:r>
              <w:t xml:space="preserve">CompanyName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</w:t>
            </w:r>
          </w:p>
        </w:tc>
        <w:tc>
          <w:tcPr/>
          <w:p>
            <w:pPr>
              <w:pStyle w:val="BodyText"/>
            </w:pPr>
            <w:r>
              <w:t xml:space="preserve">FullAddress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Rua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Cidade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Estado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CEP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Localização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TimeZoneId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Manutenção da conta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 do parâmetro de segurança</w:t>
            </w:r>
          </w:p>
        </w:tc>
        <w:tc>
          <w:tcPr/>
          <w:p>
            <w:pPr>
              <w:pStyle w:val="BodyText"/>
            </w:pPr>
            <w:r>
              <w:t xml:space="preserve">SecurityParameterId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Grupos/funções de controle de acesso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Grupo</w:t>
            </w:r>
          </w:p>
        </w:tc>
        <w:tc>
          <w:tcPr/>
          <w:p>
            <w:pPr>
              <w:pStyle w:val="BodyText"/>
            </w:pPr>
            <w:r>
              <w:t xml:space="preserve">Grupo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Função</w:t>
            </w:r>
          </w:p>
        </w:tc>
        <w:tc>
          <w:tcPr/>
          <w:p>
            <w:pPr>
              <w:pStyle w:val="BodyText"/>
            </w:pPr>
            <w:r>
              <w:t xml:space="preserve">Função</w:t>
            </w:r>
          </w:p>
        </w:tc>
      </w:tr>
    </w:tbl>
    <w:bookmarkEnd w:id="27"/>
    <w:bookmarkEnd w:id="28"/>
    <w:bookmarkStart w:id="29" w:name="Xeb9d52838333b76782b271cbf3c5c42d34b7a02"/>
    <w:p>
      <w:pPr>
        <w:pStyle w:val="Heading3"/>
      </w:pPr>
      <w:r>
        <w:t xml:space="preserve">Tarefa 3: Configurar a autenticação para logon único</w:t>
      </w:r>
    </w:p>
    <w:p>
      <w:pPr>
        <w:pStyle w:val="Compact"/>
        <w:numPr>
          <w:ilvl w:val="0"/>
          <w:numId w:val="1017"/>
        </w:numPr>
      </w:pPr>
      <w:r>
        <w:t xml:space="preserve">Habilite a sincronização LDAP no IIS.</w:t>
      </w:r>
    </w:p>
    <w:p>
      <w:pPr>
        <w:pStyle w:val="Compact"/>
        <w:numPr>
          <w:ilvl w:val="0"/>
          <w:numId w:val="1017"/>
        </w:numPr>
      </w:pPr>
      <w:r>
        <w:t xml:space="preserve">Especifique e ative a instância para a qual você está configurando o SSO.</w:t>
      </w:r>
    </w:p>
    <w:p>
      <w:pPr>
        <w:pStyle w:val="Compact"/>
        <w:numPr>
          <w:ilvl w:val="0"/>
          <w:numId w:val="1017"/>
        </w:numPr>
      </w:pPr>
      <w:r>
        <w:t xml:space="preserve">Configure o SSO para a instância.</w:t>
      </w:r>
    </w:p>
    <w:p>
      <w:pPr>
        <w:pStyle w:val="Compact"/>
        <w:numPr>
          <w:ilvl w:val="0"/>
          <w:numId w:val="1017"/>
        </w:numPr>
      </w:pPr>
      <w:r>
        <w:t xml:space="preserve">Modifique o arquivo web.config para seu método de autenticação.</w:t>
      </w:r>
    </w:p>
    <w:bookmarkEnd w:id="29"/>
    <w:bookmarkEnd w:id="30"/>
    <w:bookmarkStart w:id="32" w:name="ConfiguraromodoSAMLSingleSignon"/>
    <w:p>
      <w:pPr>
        <w:pStyle w:val="Heading2"/>
      </w:pPr>
      <w:bookmarkStart w:id="31" w:name="ConfigureSAMLSSO"/>
      <w:bookmarkEnd w:id="31"/>
      <w:r>
        <w:t xml:space="preserve"> </w:t>
      </w:r>
      <w:r>
        <w:t xml:space="preserve">Configurar o modo SAML Single Sign-on</w:t>
      </w:r>
    </w:p>
    <w:p>
      <w:pPr>
        <w:pStyle w:val="Compact"/>
        <w:numPr>
          <w:ilvl w:val="0"/>
          <w:numId w:val="1018"/>
        </w:numPr>
      </w:pPr>
      <w:r>
        <w:t xml:space="preserve">Permita desvio manual.</w:t>
      </w:r>
    </w:p>
    <w:p>
      <w:pPr>
        <w:pStyle w:val="Compact"/>
        <w:numPr>
          <w:ilvl w:val="1"/>
          <w:numId w:val="1019"/>
        </w:numPr>
      </w:pPr>
      <w:r>
        <w:t xml:space="preserve">Habilitado permite ignorar o modo SSO e fazer login usando credenciais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1"/>
          <w:numId w:val="1019"/>
        </w:numPr>
      </w:pPr>
      <w:r>
        <w:t xml:space="preserve">Desabilitado permite usar apenas SSO por meio de provedores de identidade (IDPs) configurados.</w:t>
      </w:r>
    </w:p>
    <w:p>
      <w:pPr>
        <w:pStyle w:val="Compact"/>
        <w:numPr>
          <w:ilvl w:val="0"/>
          <w:numId w:val="1018"/>
        </w:numPr>
      </w:pPr>
      <w:r>
        <w:t xml:space="preserve">Forneça o ID da entidade da instância (obrigatório).</w:t>
      </w:r>
    </w:p>
    <w:p>
      <w:pPr>
        <w:pStyle w:val="Compact"/>
        <w:numPr>
          <w:ilvl w:val="1"/>
          <w:numId w:val="1020"/>
        </w:numPr>
      </w:pPr>
      <w:r>
        <w:t xml:space="preserve">O identificador para essa instância atua como um provedor de serviços SAML ao emitir solicitações de autenticação.</w:t>
      </w:r>
    </w:p>
    <w:p>
      <w:pPr>
        <w:pStyle w:val="Compact"/>
        <w:numPr>
          <w:ilvl w:val="1"/>
          <w:numId w:val="1020"/>
        </w:numPr>
      </w:pPr>
      <w:r>
        <w:t xml:space="preserve">Os IDs de entidade devem ser exclusivos em instâncias do</w:t>
      </w:r>
      <w:r>
        <w:t xml:space="preserve"> </w:t>
      </w:r>
      <w:r>
        <w:t xml:space="preserve">Archer</w:t>
      </w:r>
      <w:r>
        <w:t xml:space="preserve"> </w:t>
      </w:r>
      <w:r>
        <w:t xml:space="preserve">que usam o mesmo IDP e limitados a 1024 caracteres no formato de URL.</w:t>
      </w:r>
    </w:p>
    <w:p>
      <w:pPr>
        <w:pStyle w:val="Compact"/>
        <w:numPr>
          <w:ilvl w:val="0"/>
          <w:numId w:val="1018"/>
        </w:numPr>
      </w:pPr>
      <w:r>
        <w:t xml:space="preserve">Forneça uma impressão digital do certificado. (Atualmente não é compatível no Archer SaaS)</w:t>
      </w:r>
    </w:p>
    <w:p>
      <w:pPr>
        <w:pStyle w:val="Compact"/>
        <w:numPr>
          <w:ilvl w:val="1"/>
          <w:numId w:val="1021"/>
        </w:numPr>
      </w:pPr>
      <w:r>
        <w:t xml:space="preserve">Um certificado x.509 é necessário para permitir a assinatura de solicitações SAML e a criptografia de asserções SAML. O</w:t>
      </w:r>
      <w:r>
        <w:t xml:space="preserve"> </w:t>
      </w:r>
      <w:r>
        <w:t xml:space="preserve">Archer</w:t>
      </w:r>
      <w:r>
        <w:t xml:space="preserve"> </w:t>
      </w:r>
      <w:r>
        <w:t xml:space="preserve">assina solicitações quando o IDP exige. O IDP usa o mesmo certificado ao criptografar asserções.</w:t>
      </w:r>
    </w:p>
    <w:p>
      <w:pPr>
        <w:pStyle w:val="Compact"/>
        <w:numPr>
          <w:ilvl w:val="1"/>
          <w:numId w:val="1021"/>
        </w:numPr>
      </w:pPr>
      <w:r>
        <w:t xml:space="preserve">Forneça uma impressão digital para o certificado x.509 no Repositório de certificados de máquina local com Windows.</w:t>
      </w:r>
    </w:p>
    <w:p>
      <w:pPr>
        <w:pStyle w:val="Compact"/>
        <w:numPr>
          <w:ilvl w:val="1"/>
          <w:numId w:val="1021"/>
        </w:numPr>
      </w:pPr>
      <w:r>
        <w:t xml:space="preserve">A identidade do pool de aplicativos IIS executado pelo</w:t>
      </w:r>
      <w:r>
        <w:t xml:space="preserve"> </w:t>
      </w:r>
      <w:r>
        <w:t xml:space="preserve">Archer</w:t>
      </w:r>
      <w:r>
        <w:t xml:space="preserve"> </w:t>
      </w:r>
      <w:r>
        <w:t xml:space="preserve">exige permissão de leitura de chave privada.</w:t>
      </w:r>
    </w:p>
    <w:p>
      <w:pPr>
        <w:pStyle w:val="Compact"/>
        <w:numPr>
          <w:ilvl w:val="1"/>
          <w:numId w:val="1021"/>
        </w:numPr>
      </w:pPr>
      <w:r>
        <w:t xml:space="preserve">Se você usar vários servidores da Web, importe o mesmo certificado para todos os Repositórios de certificados de máquina local.</w:t>
      </w:r>
    </w:p>
    <w:p>
      <w:pPr>
        <w:pStyle w:val="Compact"/>
        <w:numPr>
          <w:ilvl w:val="0"/>
          <w:numId w:val="1018"/>
        </w:numPr>
      </w:pPr>
      <w:r>
        <w:t xml:space="preserve">Os metadados do provedor de serviços exportam o XML desses metadados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uso ao configurar o</w:t>
      </w:r>
      <w:r>
        <w:t xml:space="preserve"> </w:t>
      </w:r>
      <w:r>
        <w:t xml:space="preserve">Archer</w:t>
      </w:r>
      <w:r>
        <w:t xml:space="preserve"> </w:t>
      </w:r>
      <w:r>
        <w:t xml:space="preserve">como um client com o IDP. Os metadados incluem:</w:t>
      </w:r>
    </w:p>
    <w:p>
      <w:pPr>
        <w:pStyle w:val="Compact"/>
        <w:numPr>
          <w:ilvl w:val="1"/>
          <w:numId w:val="1022"/>
        </w:numPr>
      </w:pPr>
      <w:r>
        <w:t xml:space="preserve">ID da entidade da instância</w:t>
      </w:r>
    </w:p>
    <w:p>
      <w:pPr>
        <w:pStyle w:val="Compact"/>
        <w:numPr>
          <w:ilvl w:val="1"/>
          <w:numId w:val="1022"/>
        </w:numPr>
      </w:pPr>
      <w:r>
        <w:t xml:space="preserve">URL de redirecionamento para o serviço do consumidor de asserção do</w:t>
      </w:r>
      <w:r>
        <w:t xml:space="preserve"> </w:t>
      </w:r>
      <w:r>
        <w:t xml:space="preserve">Archer</w:t>
      </w:r>
    </w:p>
    <w:p>
      <w:pPr>
        <w:pStyle w:val="Compact"/>
        <w:numPr>
          <w:ilvl w:val="1"/>
          <w:numId w:val="1022"/>
        </w:numPr>
      </w:pPr>
      <w:r>
        <w:t xml:space="preserve">Preferência no ID de nome necessário</w:t>
      </w:r>
    </w:p>
    <w:p>
      <w:pPr>
        <w:numPr>
          <w:ilvl w:val="1"/>
          <w:numId w:val="1022"/>
        </w:numPr>
      </w:pPr>
      <w:r>
        <w:t xml:space="preserve">Chave pública de assinatura e certificado de criptografia (atualmente não é compatível no Archer SaaS)</w:t>
      </w:r>
    </w:p>
    <w:p>
      <w:pPr>
        <w:pStyle w:val="Compact"/>
        <w:numPr>
          <w:ilvl w:val="2"/>
          <w:numId w:val="1023"/>
        </w:numPr>
      </w:pPr>
      <w:r>
        <w:t xml:space="preserve">Preferência para asserções assinadas do IDP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Salve todas as alterações pendentes antes de gerar metadados. Gere novamente os metadados depois de revisar o ID da entidade da instância ou o URL base.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gere novamente os metadados depois de revisar o ID da entidade da instância, o URL base ou a impressão digital do certificado.</w:t>
      </w:r>
    </w:p>
    <w:p>
      <w:pPr>
        <w:pStyle w:val="Compact"/>
        <w:numPr>
          <w:ilvl w:val="0"/>
          <w:numId w:val="1018"/>
        </w:numPr>
      </w:pPr>
      <w:r>
        <w:t xml:space="preserve">Configure as seguintes opções na seção Provedores de identidade:</w:t>
      </w:r>
    </w:p>
    <w:p>
      <w:pPr>
        <w:pStyle w:val="Compact"/>
        <w:numPr>
          <w:ilvl w:val="1"/>
          <w:numId w:val="1024"/>
        </w:numPr>
      </w:pPr>
      <w:r>
        <w:t xml:space="preserve">No campo Cabeçalho da página de decisão, digite o texto a ser exibido como cabeçalho na parte superior da página de decisão.</w:t>
      </w:r>
    </w:p>
    <w:p>
      <w:pPr>
        <w:pStyle w:val="Compact"/>
        <w:numPr>
          <w:ilvl w:val="1"/>
          <w:numId w:val="1024"/>
        </w:numPr>
      </w:pPr>
      <w:r>
        <w:t xml:space="preserve">No campo Rótulo suspenso, digite o texto que deseja exibir na página de decisão como o rótulo do menu suspenso que lista todos os provedores de identidade.</w:t>
      </w:r>
    </w:p>
    <w:bookmarkEnd w:id="32"/>
    <w:bookmarkStart w:id="34" w:name="Xbdd6dadc19037ae710ee74222d79f92f3785527"/>
    <w:p>
      <w:pPr>
        <w:pStyle w:val="Heading2"/>
      </w:pPr>
      <w:r>
        <w:t xml:space="preserve">Configurar a conexão do provedor de identidade e as configurações de provisionamento de usuários</w:t>
      </w:r>
    </w:p>
    <w:p>
      <w:pPr>
        <w:numPr>
          <w:ilvl w:val="0"/>
          <w:numId w:val="1025"/>
        </w:numPr>
      </w:pPr>
      <w:r>
        <w:t xml:space="preserve">Preencha os seguintes campos para adicionar um IDP ou selecione um IDP existente na lista para editar. Se você estiver adicionando um segundo IDP ou vários, clique no ícone</w:t>
      </w:r>
      <w:r>
        <w:t xml:space="preserve"> </w:t>
      </w:r>
      <w:r>
        <w:t xml:space="preserve">Adicionar</w:t>
      </w:r>
      <w:r>
        <w:t xml:space="preserve"> </w:t>
      </w:r>
      <w:r>
        <w:t xml:space="preserve">e, em seguida, preencha os seguintes itens (obrigatórios):</w:t>
      </w:r>
    </w:p>
    <w:p>
      <w:pPr>
        <w:pStyle w:val="Compact"/>
        <w:numPr>
          <w:ilvl w:val="1"/>
          <w:numId w:val="1026"/>
        </w:numPr>
      </w:pPr>
      <w:r>
        <w:t xml:space="preserve">No campo Nome de exibição, digite o nome de exibição do novo identificador. O identificador é exibido na lista suspensa na página de decisão de Logon único. O nome de exibição é mostrado quando o URL da instância é fornecido sem o parâmetro IDP.</w:t>
      </w:r>
    </w:p>
    <w:p>
      <w:pPr>
        <w:pStyle w:val="Compact"/>
        <w:numPr>
          <w:ilvl w:val="1"/>
          <w:numId w:val="1026"/>
        </w:numPr>
      </w:pPr>
      <w:r>
        <w:t xml:space="preserve">No campo Realm, digite o nome do realm para o novo provedor de identidade. O valor do campo Realm, o URL da instância e o nome do parâmetro IDP podem ser usados para ignorar a página de decisão de Logon único.</w:t>
      </w:r>
    </w:p>
    <w:p>
      <w:pPr>
        <w:numPr>
          <w:ilvl w:val="0"/>
          <w:numId w:val="1000"/>
        </w:numPr>
      </w:pPr>
      <w:r>
        <w:t xml:space="preserve">Exemplo:</w:t>
      </w:r>
    </w:p>
    <w:p>
      <w:pPr>
        <w:numPr>
          <w:ilvl w:val="1"/>
          <w:numId w:val="1027"/>
        </w:numPr>
      </w:pPr>
      <w:r>
        <w:t xml:space="preserve">URL da instância: https://archer.domain.com</w:t>
      </w:r>
    </w:p>
    <w:p>
      <w:pPr>
        <w:numPr>
          <w:ilvl w:val="1"/>
          <w:numId w:val="1027"/>
        </w:numPr>
      </w:pPr>
      <w:r>
        <w:t xml:space="preserve">Realm: CorpIDP</w:t>
      </w:r>
    </w:p>
    <w:p>
      <w:pPr>
        <w:numPr>
          <w:ilvl w:val="1"/>
          <w:numId w:val="1000"/>
        </w:numPr>
      </w:pPr>
      <w:r>
        <w:t xml:space="preserve">Acessar https://archer.domain.com/default.aspx?IDP=CorpIDP ignora a página de decisão e redireciona você imediatamente para CorpIDP para autenticação.</w:t>
      </w:r>
    </w:p>
    <w:p>
      <w:pPr>
        <w:numPr>
          <w:ilvl w:val="0"/>
          <w:numId w:val="1025"/>
        </w:numPr>
      </w:pPr>
      <w:r>
        <w:t xml:space="preserve">Importe metadados SAML do provedor de identidade (obrigatório).</w:t>
      </w:r>
    </w:p>
    <w:p>
      <w:pPr>
        <w:pStyle w:val="Compact"/>
        <w:numPr>
          <w:ilvl w:val="1"/>
          <w:numId w:val="1028"/>
        </w:numPr>
      </w:pPr>
      <w:r>
        <w:t xml:space="preserve">Clique em Importar e vá para o arquivo .xml de metadados.</w:t>
      </w:r>
    </w:p>
    <w:p>
      <w:pPr>
        <w:pStyle w:val="Compact"/>
        <w:numPr>
          <w:ilvl w:val="1"/>
          <w:numId w:val="1028"/>
        </w:numPr>
      </w:pPr>
      <w:r>
        <w:t xml:space="preserve">Clique em OK para concluir a importação.</w:t>
      </w:r>
    </w:p>
    <w:p>
      <w:pPr>
        <w:numPr>
          <w:ilvl w:val="0"/>
          <w:numId w:val="1000"/>
        </w:numPr>
      </w:pPr>
      <w:r>
        <w:t xml:space="preserve">O campo Metadados do IDP mostra o valor de EntityID contido no descritor de entidade dos metadados.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a opção Asserções criptografadas necessárias estiver habilitada, o</w:t>
      </w:r>
      <w:r>
        <w:t xml:space="preserve"> </w:t>
      </w:r>
      <w:r>
        <w:t xml:space="preserve">Archer</w:t>
      </w:r>
      <w:r>
        <w:t xml:space="preserve"> </w:t>
      </w:r>
      <w:r>
        <w:t xml:space="preserve">não aceitará asserções não criptografadas do IDP. É preciso especificar uma impressão digital de certificado válida para exigir asserções criptografadas.</w:t>
      </w:r>
    </w:p>
    <w:p>
      <w:pPr>
        <w:pStyle w:val="Compact"/>
        <w:numPr>
          <w:ilvl w:val="0"/>
          <w:numId w:val="1025"/>
        </w:numPr>
      </w:pPr>
      <w:r>
        <w:t xml:space="preserve">Selecione as Configurações de provisionamento apropriadas do IDP selecionado (Opcional):</w:t>
      </w:r>
    </w:p>
    <w:p>
      <w:pPr>
        <w:pStyle w:val="Compact"/>
        <w:numPr>
          <w:ilvl w:val="1"/>
          <w:numId w:val="1029"/>
        </w:numPr>
      </w:pPr>
      <w:r>
        <w:t xml:space="preserve">Habilite o Provisionamento de usuários. Se não existir uma conta, será criada uma nova conta com base no nome de usuário.</w:t>
      </w:r>
    </w:p>
    <w:p>
      <w:pPr>
        <w:pStyle w:val="Compact"/>
        <w:numPr>
          <w:ilvl w:val="1"/>
          <w:numId w:val="1029"/>
        </w:numPr>
      </w:pPr>
      <w:r>
        <w:t xml:space="preserve">Habilite a Atualização de usuário. Informações de perfil, como nome, sobrenome, endereço e endereço de e-mail, são atualizadas sempre que um usuário é autenticado com sucesso por meio do SSO.</w:t>
      </w:r>
    </w:p>
    <w:p>
      <w:pPr>
        <w:pStyle w:val="Compact"/>
        <w:numPr>
          <w:ilvl w:val="1"/>
          <w:numId w:val="1029"/>
        </w:numPr>
      </w:pPr>
      <w:r>
        <w:t xml:space="preserve">Habilite a Atualização de grupo. A associação de grupo é atualizada em cada SSO.</w:t>
      </w:r>
    </w:p>
    <w:p>
      <w:pPr>
        <w:pStyle w:val="Compact"/>
        <w:numPr>
          <w:ilvl w:val="1"/>
          <w:numId w:val="1029"/>
        </w:numPr>
      </w:pPr>
      <w:r>
        <w:t xml:space="preserve">Habilite a Atualização de função. A atribuição de função é atualizada em cada SSO.</w:t>
      </w:r>
    </w:p>
    <w:p>
      <w:pPr>
        <w:pStyle w:val="Compact"/>
        <w:numPr>
          <w:ilvl w:val="0"/>
          <w:numId w:val="1025"/>
        </w:numPr>
      </w:pPr>
      <w:r>
        <w:t xml:space="preserve">Digite o nome, sobrenome e função de usuário padrão (obrigatório). O</w:t>
      </w:r>
      <w:r>
        <w:t xml:space="preserve"> </w:t>
      </w:r>
      <w:r>
        <w:t xml:space="preserve">Archer</w:t>
      </w:r>
      <w:r>
        <w:t xml:space="preserve"> </w:t>
      </w:r>
      <w:r>
        <w:t xml:space="preserve">usa esses padrões se nenhum nome e função são especificados no momento do provisionamento. Você poderá editar esses valores mais tarde para o novo usuário.</w:t>
      </w:r>
    </w:p>
    <w:p>
      <w:pPr>
        <w:numPr>
          <w:ilvl w:val="0"/>
          <w:numId w:val="1025"/>
        </w:numPr>
      </w:pPr>
      <w:r>
        <w:t xml:space="preserve">Clique em Salvar para salvar todas as definições de configuração na guia Single Sign-on.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qualquer alteração na seção SSO ou IDP não será salva enquanto esta etapa não for concluída.</w:t>
      </w:r>
    </w:p>
    <w:bookmarkStart w:id="33" w:name="X3bdd29ceafebcafcb8e523f03336ed3884c8e08"/>
    <w:p>
      <w:pPr>
        <w:pStyle w:val="Heading4"/>
      </w:pPr>
      <w:r>
        <w:t xml:space="preserve">Mapeamento de atributo compatível com o</w:t>
      </w:r>
      <w:r>
        <w:t xml:space="preserve"> </w:t>
      </w:r>
      <w:r>
        <w:t xml:space="preserve">Archer</w:t>
      </w:r>
      <w:r>
        <w:t xml:space="preserve"> </w:t>
      </w:r>
      <w:r>
        <w:t xml:space="preserve">para SAML</w:t>
      </w:r>
    </w:p>
    <w:p>
      <w:pPr>
        <w:pStyle w:val="TableCaption"/>
      </w:pPr>
      <w:r>
        <w:t xml:space="preserve">A tabela a seguir contém informações de Mapeamento de atributo compatível com o</w:t>
      </w:r>
      <w:r>
        <w:t xml:space="preserve"> </w:t>
      </w:r>
      <w:r>
        <w:t xml:space="preserve">Archer</w:t>
      </w:r>
      <w:r>
        <w:t xml:space="preserve"> </w:t>
      </w:r>
      <w:r>
        <w:t xml:space="preserve">para SAML. Os itens marcados com um asterisco (*) são obrigatórios.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contém informações de Mapeamento de atributo compatível com o Archer para SAML. Os itens marcados com um asterisco (*) são obrigatóri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Archer</w:t>
            </w:r>
            <w:r>
              <w:t xml:space="preserve">Nome do campo</w:t>
            </w:r>
          </w:p>
        </w:tc>
        <w:tc>
          <w:tcPr/>
          <w:p>
            <w:pPr>
              <w:pStyle w:val="BodyText"/>
            </w:pPr>
            <w:r>
              <w:t xml:space="preserve">Mapeamento de atributo compatível com o</w:t>
            </w:r>
            <w:r>
              <w:t xml:space="preserve"> </w:t>
            </w:r>
            <w:r>
              <w:t xml:space="preserve">Archer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Informações de identidade do usuário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de usuário*</w:t>
            </w:r>
          </w:p>
        </w:tc>
        <w:tc>
          <w:tcPr/>
          <w:p>
            <w:pPr>
              <w:pStyle w:val="BodyText"/>
            </w:pPr>
            <w:r>
              <w:t xml:space="preserve">NameID*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Domínio de usuário</w:t>
            </w:r>
          </w:p>
        </w:tc>
        <w:tc>
          <w:tcPr/>
          <w:p>
            <w:pPr>
              <w:pStyle w:val="BodyText"/>
            </w:pPr>
            <w:r>
              <w:t xml:space="preserve">UserDomain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FirstName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Sobrenome</w:t>
            </w:r>
          </w:p>
        </w:tc>
        <w:tc>
          <w:tcPr/>
          <w:p>
            <w:pPr>
              <w:pStyle w:val="BodyText"/>
            </w:pPr>
            <w:r>
              <w:t xml:space="preserve">Sobrenome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Segundo nome</w:t>
            </w:r>
          </w:p>
        </w:tc>
        <w:tc>
          <w:tcPr/>
          <w:p>
            <w:pPr>
              <w:pStyle w:val="BodyText"/>
            </w:pPr>
            <w:r>
              <w:t xml:space="preserve">MiddleName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Título</w:t>
            </w:r>
          </w:p>
        </w:tc>
        <w:tc>
          <w:tcPr/>
          <w:p>
            <w:pPr>
              <w:pStyle w:val="BodyText"/>
            </w:pPr>
            <w:r>
              <w:t xml:space="preserve">Título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Detalhes de contato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</w:t>
            </w:r>
          </w:p>
        </w:tc>
        <w:tc>
          <w:tcPr/>
          <w:p>
            <w:pPr>
              <w:pStyle w:val="BodyText"/>
            </w:pPr>
            <w:r>
              <w:t xml:space="preserve">FullAddress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Rua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Cidade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Estado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CEP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Empresa</w:t>
            </w:r>
          </w:p>
        </w:tc>
        <w:tc>
          <w:tcPr/>
          <w:p>
            <w:pPr>
              <w:pStyle w:val="BodyText"/>
            </w:pPr>
            <w:r>
              <w:t xml:space="preserve">Empresa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de e-mail padrão</w:t>
            </w:r>
          </w:p>
        </w:tc>
        <w:tc>
          <w:tcPr/>
          <w:p>
            <w:pPr>
              <w:pStyle w:val="BodyText"/>
            </w:pPr>
            <w:r>
              <w:t xml:space="preserve">EmailAddress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Telefone 1</w:t>
            </w:r>
          </w:p>
        </w:tc>
        <w:tc>
          <w:tcPr/>
          <w:p>
            <w:pPr>
              <w:pStyle w:val="BodyText"/>
            </w:pPr>
            <w:r>
              <w:t xml:space="preserve">PhoneNumber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Localização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TimeZoneId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Manutenção da conta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Parâmetro de segurança</w:t>
            </w:r>
          </w:p>
        </w:tc>
        <w:tc>
          <w:tcPr/>
          <w:p>
            <w:pPr>
              <w:pStyle w:val="BodyText"/>
            </w:pPr>
            <w:r>
              <w:t xml:space="preserve">SecurityParameterId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Grupos/Funções de acesso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Grupos</w:t>
            </w:r>
          </w:p>
        </w:tc>
        <w:tc>
          <w:tcPr/>
          <w:p>
            <w:pPr>
              <w:pStyle w:val="BodyText"/>
            </w:pPr>
            <w:r>
              <w:t xml:space="preserve">Grupo/Grupos</w:t>
            </w:r>
          </w:p>
          <w:p>
            <w:pPr>
              <w:pStyle w:val="BodyText"/>
            </w:pPr>
            <w:r>
              <w:t xml:space="preserve">Use Grupo para atributo de valor único. Use Grupos para atributos de diversos valores.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Funções</w:t>
            </w:r>
          </w:p>
        </w:tc>
        <w:tc>
          <w:tcPr/>
          <w:p>
            <w:pPr>
              <w:pStyle w:val="BodyText"/>
            </w:pPr>
            <w:r>
              <w:t xml:space="preserve">Função/Funções</w:t>
            </w:r>
          </w:p>
          <w:p>
            <w:pPr>
              <w:pStyle w:val="BodyText"/>
            </w:pPr>
            <w:r>
              <w:t xml:space="preserve">Use a função para o atributo de valor único. Use funções para atributos de vários valores.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atualizar o endereço do usuário, use 1 das seguintes opções:</w:t>
      </w:r>
    </w:p>
    <w:p>
      <w:pPr>
        <w:pStyle w:val="Compact"/>
        <w:numPr>
          <w:ilvl w:val="0"/>
          <w:numId w:val="1030"/>
        </w:numPr>
      </w:pPr>
      <w:r>
        <w:t xml:space="preserve">Atributo FullAddress. O campo Endereço no Perfil de usuário é atualizado com os valores fornecidos neste atributo.</w:t>
      </w:r>
    </w:p>
    <w:p>
      <w:pPr>
        <w:pStyle w:val="Compact"/>
        <w:numPr>
          <w:ilvl w:val="0"/>
          <w:numId w:val="1030"/>
        </w:numPr>
      </w:pPr>
      <w:r>
        <w:t xml:space="preserve">Atributo Rua, cidade, estado, código postal. O campo Endereço é atualizado com os valores de rua, cidade, estado e código postal.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Consulte Valores de ID de fuso horário compatíveis para obter uma lista de todos os valores de ID de fuso horário compatíveis com o</w:t>
      </w:r>
      <w:r>
        <w:t xml:space="preserve"> </w:t>
      </w:r>
      <w:r>
        <w:t xml:space="preserve">Archer</w:t>
      </w:r>
      <w:r>
        <w:t xml:space="preserve">.</w:t>
      </w:r>
    </w:p>
    <w:bookmarkEnd w:id="33"/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platform/integration/int_auth_methods.htm#Windows" TargetMode="External" /><Relationship Type="http://schemas.openxmlformats.org/officeDocument/2006/relationships/hyperlink" Id="rId25" Target="https://technet.microsoft.com/en-us/library/adfs2-step-by-step-guides(v=ws.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platform/integration/int_auth_methods.htm#Windows" TargetMode="External" /><Relationship Type="http://schemas.openxmlformats.org/officeDocument/2006/relationships/hyperlink" Id="rId25" Target="https://technet.microsoft.com/en-us/library/adfs2-step-by-step-guides(v=ws.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Configurando uma instância para Logon único</dc:title>
  <dc:creator/>
  <cp:keywords/>
  <dcterms:created xsi:type="dcterms:W3CDTF">2025-02-19T12:51:50Z</dcterms:created>
  <dcterms:modified xsi:type="dcterms:W3CDTF">2025-02-19T12:51:50Z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