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Métodos de autenticação de banco de dados</w:t>
      </w:r>
    </w:p>
    <w:bookmarkStart w:id="21" w:name="mc-main-content"/>
    <w:bookmarkStart w:id="20" w:name="X61d1cf0f1d3476c06b72c0513ac28b2e530d07a"/>
    <w:p>
      <w:pPr>
        <w:pStyle w:val="Heading1"/>
      </w:pPr>
      <w:r>
        <w:t xml:space="preserve">Métodos de autenticação de banco de dados</w:t>
      </w:r>
    </w:p>
    <w:p>
      <w:pPr>
        <w:pStyle w:val="FirstParagraph"/>
      </w:pPr>
      <w:r>
        <w:t xml:space="preserve">Este tópico está disponível apenas para instalações locais do Archer.</w:t>
      </w:r>
    </w:p>
    <w:p>
      <w:pPr>
        <w:pStyle w:val="BodyText"/>
      </w:pPr>
      <w:r>
        <w:t xml:space="preserve">Os métodos de autenticação autorizam os usuários a realizar funções no computador e determinam a conectividade com os bancos de dados. O método usado está totalmente preparado para suas operações de negócios. Os métodos de autenticação incluem:</w:t>
      </w:r>
    </w:p>
    <w:p>
      <w:pPr>
        <w:pStyle w:val="Compact"/>
        <w:numPr>
          <w:ilvl w:val="0"/>
          <w:numId w:val="1001"/>
        </w:numPr>
      </w:pPr>
      <w:r>
        <w:t xml:space="preserve">Autenticação do SQL Server: o</w:t>
      </w:r>
      <w:r>
        <w:t xml:space="preserve"> </w:t>
      </w:r>
      <w:r>
        <w:t xml:space="preserve">Archer</w:t>
      </w:r>
      <w:r>
        <w:t xml:space="preserve"> </w:t>
      </w:r>
      <w:r>
        <w:t xml:space="preserve">conecta-se a cada banco de dados usando uma conta do SQL criada na instância do SQL Server. Você especifica as informações da conta durante o processo de instalação.</w:t>
      </w:r>
    </w:p>
    <w:p>
      <w:pPr>
        <w:numPr>
          <w:ilvl w:val="0"/>
          <w:numId w:val="1001"/>
        </w:numPr>
      </w:pPr>
      <w:r>
        <w:t xml:space="preserve">Bancos de dados do SQL Server. O</w:t>
      </w:r>
      <w:r>
        <w:t xml:space="preserve"> </w:t>
      </w:r>
      <w:r>
        <w:t xml:space="preserve">Archer</w:t>
      </w:r>
      <w:r>
        <w:t xml:space="preserve"> </w:t>
      </w:r>
      <w:r>
        <w:t xml:space="preserve">conecta-se a bancos de dados do SQL Server 2017, 2017 no Linux (Ubuntu) ou SQL Server 2019 para armazenamento de dados. Limite a autorização a esses bancos de dados apenas às contas que precisam de acesso ao banco de dados.</w:t>
      </w:r>
    </w:p>
    <w:p>
      <w:pPr>
        <w:numPr>
          <w:ilvl w:val="0"/>
          <w:numId w:val="1000"/>
        </w:numPr>
      </w:pPr>
      <w:r>
        <w:t xml:space="preserve">Durante a instalação e o upgrade, a conta que se conecta aos bancos de dados do</w:t>
      </w:r>
      <w:r>
        <w:t xml:space="preserve"> </w:t>
      </w:r>
      <w:r>
        <w:t xml:space="preserve">Archer</w:t>
      </w:r>
      <w:r>
        <w:t xml:space="preserve"> </w:t>
      </w:r>
      <w:r>
        <w:t xml:space="preserve">exige permissão db_owner. Após a instalação, a conta que se conecta à instância e aos bancos de dados de configuração do</w:t>
      </w:r>
      <w:r>
        <w:t xml:space="preserve"> </w:t>
      </w:r>
      <w:r>
        <w:t xml:space="preserve">Archer</w:t>
      </w:r>
      <w:r>
        <w:t xml:space="preserve"> </w:t>
      </w:r>
      <w:r>
        <w:t xml:space="preserve">exige as seguintes permissões no banco de dados:</w:t>
      </w:r>
    </w:p>
    <w:p>
      <w:pPr>
        <w:pStyle w:val="Compact"/>
        <w:numPr>
          <w:ilvl w:val="1"/>
          <w:numId w:val="1002"/>
        </w:numPr>
      </w:pPr>
      <w:r>
        <w:t xml:space="preserve">Direitos de Leitor de Dados (membro do db_datareader)</w:t>
      </w:r>
    </w:p>
    <w:p>
      <w:pPr>
        <w:pStyle w:val="Compact"/>
        <w:numPr>
          <w:ilvl w:val="1"/>
          <w:numId w:val="1002"/>
        </w:numPr>
      </w:pPr>
      <w:r>
        <w:t xml:space="preserve">Direitos de Gravador de Dados (membro do db_datawriter)</w:t>
      </w:r>
    </w:p>
    <w:p>
      <w:pPr>
        <w:pStyle w:val="Compact"/>
        <w:numPr>
          <w:ilvl w:val="1"/>
          <w:numId w:val="1002"/>
        </w:numPr>
      </w:pPr>
      <w:r>
        <w:t xml:space="preserve">Permissões de execução em todos os procedimentos armazenados e funções escalares</w:t>
      </w:r>
    </w:p>
    <w:p>
      <w:pPr>
        <w:pStyle w:val="Compact"/>
        <w:numPr>
          <w:ilvl w:val="1"/>
          <w:numId w:val="1002"/>
        </w:numPr>
      </w:pPr>
      <w:r>
        <w:t xml:space="preserve">Permissões de seleção em todas as exibições, funções com valor de tabela e funções em linha</w:t>
      </w:r>
    </w:p>
    <w:p>
      <w:pPr>
        <w:pStyle w:val="Compact"/>
        <w:numPr>
          <w:ilvl w:val="1"/>
          <w:numId w:val="1002"/>
        </w:numPr>
      </w:pPr>
      <w:r>
        <w:t xml:space="preserve">Permissões de execução no procedimento armazenado do sistema sp_procedure_params_100_managed</w:t>
      </w:r>
    </w:p>
    <w:p>
      <w:pPr>
        <w:numPr>
          <w:ilvl w:val="0"/>
          <w:numId w:val="1000"/>
        </w:numPr>
      </w:pPr>
      <w:r>
        <w:rPr>
          <w:b/>
          <w:bCs/>
        </w:rPr>
        <w:t xml:space="preserve">Importante:</w:t>
      </w:r>
      <w:r>
        <w:t xml:space="preserve"> </w:t>
      </w:r>
      <w:r>
        <w:t xml:space="preserve">Conceda os mesmos privilégios ao usuário para o banco de dados da instância e banco de dados de configuração.</w:t>
      </w:r>
    </w:p>
    <w:p>
      <w:pPr>
        <w:pStyle w:val="Compact"/>
        <w:numPr>
          <w:ilvl w:val="0"/>
          <w:numId w:val="1003"/>
        </w:numPr>
      </w:pPr>
      <w:r>
        <w:t xml:space="preserve">Segurança integrada: o</w:t>
      </w:r>
      <w:r>
        <w:t xml:space="preserve"> </w:t>
      </w:r>
      <w:r>
        <w:t xml:space="preserve">Archer</w:t>
      </w:r>
      <w:r>
        <w:t xml:space="preserve"> </w:t>
      </w:r>
      <w:r>
        <w:t xml:space="preserve">conecta-se por meio de uma identidade do Windows estabelecida no thread do sistema operacional, usando uma conta de usuário do domínio Active Directory. Você deve configurar uma Identidade do pool de aplicativos em IIS como a conta de usuário de domínio antes da instalação do</w:t>
      </w:r>
      <w:r>
        <w:t xml:space="preserve"> </w:t>
      </w:r>
      <w:r>
        <w:t xml:space="preserve">Archer</w:t>
      </w:r>
      <w:r>
        <w:t xml:space="preserve">. Essa conta do usuário do domínio possui acesso de DBO (Database Owner, proprietário do banco de dados) ao banco de dados da instância que serve como identidade do processo para aplicativos atribuídos ao pool de aplicativos. O acesso de  DBO só é necessário durante a instalação.</w:t>
      </w:r>
    </w:p>
    <w:p>
      <w:pPr>
        <w:numPr>
          <w:ilvl w:val="0"/>
          <w:numId w:val="1004"/>
        </w:numPr>
      </w:pPr>
      <w:r>
        <w:t xml:space="preserve">É recomendável criar uma conta de serviços de domínio exclusiva do</w:t>
      </w:r>
      <w:r>
        <w:t xml:space="preserve"> </w:t>
      </w:r>
      <w:r>
        <w:t xml:space="preserve">Archer</w:t>
      </w:r>
      <w:r>
        <w:t xml:space="preserve"> </w:t>
      </w:r>
      <w:r>
        <w:t xml:space="preserve">para a Identidade do pool de aplicativos do IIS e, em seguida, conceder a ela acesso aos recursos necessários. Além disso, fique preparado para conceder à mesma conta credenciais para a conta do</w:t>
      </w:r>
      <w:r>
        <w:t xml:space="preserve"> </w:t>
      </w:r>
      <w:r>
        <w:t xml:space="preserve">Archer</w:t>
      </w:r>
      <w:r>
        <w:t xml:space="preserve"> </w:t>
      </w:r>
      <w:r>
        <w:t xml:space="preserve">Services durante o processo de instalação.</w:t>
      </w:r>
    </w:p>
    <w:p>
      <w:pPr>
        <w:numPr>
          <w:ilvl w:val="0"/>
          <w:numId w:val="1000"/>
        </w:numPr>
      </w:pPr>
      <w:r>
        <w:rPr>
          <w:b/>
          <w:bCs/>
        </w:rPr>
        <w:t xml:space="preserve">Observação:</w:t>
      </w:r>
      <w:r>
        <w:t xml:space="preserve"> </w:t>
      </w:r>
      <w:r>
        <w:t xml:space="preserve">O termo Segurança integrada pode também ser referenciado como Conexões confiáveis. O Pool de aplicativos é um meio de isolamento de aplicativos da Web onde há vários processos do operador IIS que compartilham o mesmo servidor da Web.</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de autenticação de banco de dados</dc:title>
  <dc:creator/>
  <cp:keywords/>
  <dcterms:created xsi:type="dcterms:W3CDTF">2025-02-19T12:51:52Z</dcterms:created>
  <dcterms:modified xsi:type="dcterms:W3CDTF">2025-02-19T12:51:52Z</dcterms:modified>
</cp:coreProperties>
</file>

<file path=docProps/custom.xml><?xml version="1.0" encoding="utf-8"?>
<Properties xmlns="http://schemas.openxmlformats.org/officeDocument/2006/custom-properties" xmlns:vt="http://schemas.openxmlformats.org/officeDocument/2006/docPropsVTypes"/>
</file>