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Adicionando feeds de dados do tipo Archer-to-Archer somente para transferência</w:t>
      </w:r>
    </w:p>
    <w:bookmarkStart w:id="28" w:name="mc-main-content"/>
    <w:bookmarkStart w:id="27" w:name="Xe20c11ddc46c592300df692034271d276597dd3"/>
    <w:p>
      <w:pPr>
        <w:pStyle w:val="Heading1"/>
      </w:pPr>
      <w:bookmarkStart w:id="20" w:name="aanchor230"/>
      <w:bookmarkEnd w:id="20"/>
      <w:r>
        <w:t xml:space="preserve"> </w:t>
      </w:r>
      <w:r>
        <w:t xml:space="preserve">Adicionando um feed de dados Somente transporte de Archer para Archer</w:t>
      </w:r>
    </w:p>
    <w:p>
      <w:pPr>
        <w:pStyle w:val="FirstParagraph"/>
      </w:pPr>
      <w:r>
        <w:t xml:space="preserve">Este recurso está disponível apenas para instalações locais do Archer.</w:t>
      </w:r>
    </w:p>
    <w:p>
      <w:pPr>
        <w:pStyle w:val="BodyText"/>
      </w:pPr>
      <w:r>
        <w:t xml:space="preserve">Conclua as seguintes tarefas para adicionar um feed de dados Somente transporte de Archer para Archer.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a3f44f3914168d492a0f22708c17846033926e2">
        <w:r>
          <w:rPr>
            <w:rStyle w:val="Hyperlink"/>
          </w:rPr>
          <w:t xml:space="preserve">Exemplo: Feed de dados de Archer para Archer - Pesquisa XML apenas para transporte</w:t>
        </w:r>
      </w:hyperlink>
    </w:p>
    <w:p>
      <w:pPr>
        <w:pStyle w:val="Compact"/>
        <w:numPr>
          <w:ilvl w:val="0"/>
          <w:numId w:val="1001"/>
        </w:numPr>
      </w:pPr>
      <w:hyperlink w:anchor="X09200154ca4bcabf9be034a723b7e1d1d39b6f4">
        <w:r>
          <w:rPr>
            <w:rStyle w:val="Hyperlink"/>
          </w:rPr>
          <w:t xml:space="preserve">Tarefa 1: Adicionar um feed de dados de transporte</w:t>
        </w:r>
      </w:hyperlink>
    </w:p>
    <w:p>
      <w:pPr>
        <w:pStyle w:val="Compact"/>
        <w:numPr>
          <w:ilvl w:val="0"/>
          <w:numId w:val="1001"/>
        </w:numPr>
      </w:pPr>
      <w:hyperlink w:anchor="Xe87caee0b9ce24517d66f858473d6e88c2e85bd">
        <w:r>
          <w:rPr>
            <w:rStyle w:val="Hyperlink"/>
          </w:rPr>
          <w:t xml:space="preserve">Tarefa 2: Configurar uma pesquisa de relatório</w:t>
        </w:r>
      </w:hyperlink>
    </w:p>
    <w:p>
      <w:pPr>
        <w:pStyle w:val="Compact"/>
        <w:numPr>
          <w:ilvl w:val="1"/>
          <w:numId w:val="1002"/>
        </w:numPr>
      </w:pPr>
      <w:hyperlink w:anchor="Tokensdenomedearquivo">
        <w:r>
          <w:rPr>
            <w:rStyle w:val="Hyperlink"/>
          </w:rPr>
          <w:t xml:space="preserve">Tokens de nome de arquivo</w:t>
        </w:r>
      </w:hyperlink>
    </w:p>
    <w:p>
      <w:pPr>
        <w:pStyle w:val="Compact"/>
        <w:numPr>
          <w:ilvl w:val="0"/>
          <w:numId w:val="1001"/>
        </w:numPr>
      </w:pPr>
      <w:hyperlink w:anchor="Tarefa3Definiroagendamentodofeeddedados">
        <w:r>
          <w:rPr>
            <w:rStyle w:val="Hyperlink"/>
          </w:rPr>
          <w:t xml:space="preserve">Tarefa 3: Definir o agendamento do feed de dados</w:t>
        </w:r>
      </w:hyperlink>
    </w:p>
    <w:bookmarkStart w:id="21" w:name="Xa3f44f3914168d492a0f22708c17846033926e2"/>
    <w:p>
      <w:pPr>
        <w:pStyle w:val="Heading2"/>
      </w:pPr>
      <w:r>
        <w:t xml:space="preserve">Exemplo: Feed de dados de Archer para Archer - Pesquisa XML apenas para transporte</w:t>
      </w:r>
    </w:p>
    <w:p>
      <w:pPr>
        <w:pStyle w:val="TableCaption"/>
      </w:pPr>
      <w:r>
        <w:t xml:space="preserve">A tabela a seguir mostra um exemplo dos valores de um feed de dados para o Archer Web Services Transporter usando uma pesquisa XML para recuperar dados da API de Web Services do Archer. O exemplo mostra as configurações para cada propriedade do feed de dados e a execução do feed de dados sem um agendamento.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mostra um exemplo dos valores de um feed de dados para o Archer Web Services Transporter usando uma pesquisa XML para recuperar dados da API de Web Services do Archer. O exemplo mostra as configurações para cada propriedade do feed de dados e a execução do feed de dados sem um agendamento.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Guia</w:t>
            </w:r>
          </w:p>
        </w:tc>
        <w:tc>
          <w:tcPr/>
          <w:p>
            <w:pPr>
              <w:pStyle w:val="BodyText"/>
            </w:pPr>
            <w:r>
              <w:t xml:space="preserve">Seção</w:t>
            </w:r>
          </w:p>
        </w:tc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  <w:tc>
          <w:tcPr/>
          <w:p>
            <w:pPr>
              <w:pStyle w:val="BodyText"/>
            </w:pPr>
            <w:r>
              <w:t xml:space="preserve">Observações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Geral</w:t>
            </w:r>
          </w:p>
        </w:tc>
        <w:tc>
          <w:tcPr/>
          <w:p>
            <w:pPr>
              <w:pStyle w:val="BodyText"/>
            </w:pPr>
            <w:r>
              <w:t xml:space="preserve">Informações gerais</w:t>
            </w:r>
          </w:p>
        </w:tc>
        <w:tc>
          <w:tcPr/>
          <w:p>
            <w:pPr>
              <w:pStyle w:val="BodyText"/>
            </w:pPr>
            <w:r>
              <w:t xml:space="preserve">Nome</w:t>
            </w:r>
          </w:p>
        </w:tc>
        <w:tc>
          <w:tcPr/>
          <w:p>
            <w:pPr>
              <w:pStyle w:val="BodyText"/>
            </w:pPr>
            <w:r>
              <w:rPr>
                <w:i/>
                <w:iCs/>
              </w:rPr>
              <w:t xml:space="preserve">definido pelo usuário</w:t>
            </w:r>
          </w:p>
        </w:tc>
        <w:tc>
          <w:tcPr/>
          <w:p>
            <w:pPr>
              <w:pStyle w:val="BodyText"/>
            </w:pPr>
            <w:r>
              <w:t xml:space="preserve">O nome exclusivo do feed de dados, por exemplo, Feed de dados APENAS de transferência da AWS.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Alias</w:t>
            </w:r>
          </w:p>
        </w:tc>
        <w:tc>
          <w:tcPr/>
          <w:p>
            <w:pPr>
              <w:pStyle w:val="BodyText"/>
            </w:pPr>
            <w:r>
              <w:rPr>
                <w:i/>
                <w:iCs/>
              </w:rPr>
              <w:t xml:space="preserve">padrão</w:t>
            </w:r>
          </w:p>
        </w:tc>
        <w:tc>
          <w:tcPr/>
          <w:p>
            <w:pPr>
              <w:pStyle w:val="BodyText"/>
            </w:pPr>
            <w:r>
              <w:t xml:space="preserve">Por padrão, o Alias é igual a Nome, por exemplo, AWS_TO_Data Feed. O Nome de alias designa o nome da pasta desse feed de dados no diretório de usuário.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Status</w:t>
            </w:r>
          </w:p>
        </w:tc>
        <w:tc>
          <w:tcPr/>
          <w:p>
            <w:pPr>
              <w:pStyle w:val="BodyText"/>
            </w:pPr>
            <w:r>
              <w:t xml:space="preserve">Ativo</w:t>
            </w:r>
          </w:p>
        </w:tc>
        <w:tc>
          <w:tcPr/>
          <w:p>
            <w:pPr>
              <w:pStyle w:val="BodyText"/>
            </w:pPr>
            <w:r>
              <w:t xml:space="preserve">O feed de dados deve ter um status Ativo para ser executado.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Informações do feed</w:t>
            </w:r>
          </w:p>
        </w:tc>
        <w:tc>
          <w:tcPr/>
          <w:p>
            <w:pPr>
              <w:pStyle w:val="BodyText"/>
            </w:pPr>
            <w:r>
              <w:t xml:space="preserve">Nome da conta de serviço</w:t>
            </w:r>
          </w:p>
        </w:tc>
        <w:tc>
          <w:tcPr/>
          <w:p>
            <w:pPr>
              <w:pStyle w:val="BodyText"/>
            </w:pPr>
            <w:r>
              <w:rPr>
                <w:i/>
                <w:iCs/>
              </w:rPr>
              <w:t xml:space="preserve">definido pelo usuário</w:t>
            </w:r>
          </w:p>
        </w:tc>
        <w:tc>
          <w:tcPr/>
          <w:p>
            <w:pPr>
              <w:pStyle w:val="BodyText"/>
            </w:pPr>
            <w:r>
              <w:t xml:space="preserve">O nome de usuário por meio do qual o feed de dados será executado, por exemplo, AWS_Transport_Only.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Tipo de feed</w:t>
            </w:r>
          </w:p>
        </w:tc>
        <w:tc>
          <w:tcPr/>
          <w:p>
            <w:pPr>
              <w:pStyle w:val="BodyText"/>
            </w:pPr>
            <w:r>
              <w:t xml:space="preserve">Somente transporte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Caminho de destino</w:t>
            </w:r>
          </w:p>
        </w:tc>
        <w:tc>
          <w:tcPr/>
          <w:p>
            <w:pPr>
              <w:pStyle w:val="BodyText"/>
            </w:pPr>
            <w:r>
              <w:rPr>
                <w:i/>
                <w:iCs/>
              </w:rPr>
              <w:t xml:space="preserve">definido pelo usuário</w:t>
            </w:r>
          </w:p>
        </w:tc>
        <w:tc>
          <w:tcPr/>
          <w:p>
            <w:pPr>
              <w:pStyle w:val="BodyText"/>
            </w:pPr>
            <w:r>
              <w:t xml:space="preserve">O nome e o local do arquivo que está sendo transferido, por exemplo, AWS.xml.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Conexão de origem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Método de transferência</w:t>
            </w:r>
          </w:p>
        </w:tc>
        <w:tc>
          <w:tcPr/>
          <w:p>
            <w:pPr>
              <w:pStyle w:val="BodyText"/>
            </w:pPr>
            <w:r>
              <w:t xml:space="preserve">Archer Web Services Transporter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Propriedades de log-on</w:t>
            </w:r>
          </w:p>
        </w:tc>
        <w:tc>
          <w:tcPr/>
          <w:p>
            <w:pPr>
              <w:pStyle w:val="BodyText"/>
            </w:pPr>
            <w:r>
              <w:t xml:space="preserve">URL</w:t>
            </w:r>
          </w:p>
        </w:tc>
        <w:tc>
          <w:tcPr/>
          <w:p>
            <w:pPr>
              <w:pStyle w:val="BodyText"/>
            </w:pPr>
            <w:r>
              <w:t xml:space="preserve">[http://yoursiteURL/ws/search.asmx]</w:t>
            </w:r>
          </w:p>
        </w:tc>
        <w:tc>
          <w:tcPr/>
          <w:p>
            <w:pPr>
              <w:pStyle w:val="BodyText"/>
            </w:pPr>
            <w:r>
              <w:t xml:space="preserve">Por exemplo, http://staging.local:8000/ws/search.asmx</w:t>
            </w:r>
          </w:p>
          <w:p>
            <w:pPr>
              <w:pStyle w:val="BodyText"/>
            </w:pPr>
            <w:r>
              <w:t xml:space="preserve">Substitua a URL do seu site pela URL real para a instância do Archer.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Credenciais</w:t>
            </w:r>
          </w:p>
        </w:tc>
        <w:tc>
          <w:tcPr/>
          <w:p>
            <w:pPr>
              <w:pStyle w:val="BodyText"/>
            </w:pPr>
            <w:r>
              <w:rPr>
                <w:i/>
                <w:iCs/>
              </w:rPr>
              <w:t xml:space="preserve">selecione a opção para a instância atual</w:t>
            </w:r>
          </w:p>
        </w:tc>
        <w:tc>
          <w:tcPr/>
          <w:p>
            <w:pPr>
              <w:pStyle w:val="BodyText"/>
            </w:pPr>
            <w:r>
              <w:t xml:space="preserve">Usuário de conta anônima ou de serviço: Selecione se a instância atual está configurada para autenticação anônima ou quando a Conta de serviço que executa o serviço Mecanismo de trabalho pode acessar o IIS.</w:t>
            </w:r>
          </w:p>
          <w:p>
            <w:pPr>
              <w:pStyle w:val="BodyText"/>
            </w:pPr>
            <w:r>
              <w:t xml:space="preserve">Específico: Indique se a instância atual está configurada para autenticação do Windows. Você deverá fornecer: Nome de usuário e Senha para autenticação do Windows. O Domínio é opcional.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Configuração de transferência</w:t>
            </w:r>
          </w:p>
        </w:tc>
        <w:tc>
          <w:tcPr/>
          <w:p>
            <w:pPr>
              <w:pStyle w:val="BodyText"/>
            </w:pPr>
            <w:r>
              <w:t xml:space="preserve">Pesquisar tipo</w:t>
            </w:r>
          </w:p>
        </w:tc>
        <w:tc>
          <w:tcPr/>
          <w:p>
            <w:pPr>
              <w:pStyle w:val="BodyText"/>
            </w:pPr>
            <w:r>
              <w:t xml:space="preserve">Pesquisar XML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Conexão SSL</w:t>
            </w:r>
          </w:p>
        </w:tc>
        <w:tc>
          <w:tcPr/>
          <w:p>
            <w:pPr>
              <w:pStyle w:val="BodyText"/>
            </w:pPr>
            <w:r>
              <w:t xml:space="preserve">Somente transporte</w:t>
            </w:r>
          </w:p>
        </w:tc>
        <w:tc>
          <w:tcPr/>
          <w:p>
            <w:pPr>
              <w:pStyle w:val="BodyText"/>
            </w:pPr>
            <w:r>
              <w:t xml:space="preserve">Selecione esta opção para usar uma conexão segura.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Nome de usuário</w:t>
            </w:r>
          </w:p>
        </w:tc>
        <w:tc>
          <w:tcPr/>
          <w:p>
            <w:pPr>
              <w:pStyle w:val="BodyText"/>
            </w:pPr>
            <w:r>
              <w:rPr>
                <w:i/>
                <w:iCs/>
              </w:rPr>
              <w:t xml:space="preserve">definido pelo usuário</w:t>
            </w:r>
          </w:p>
        </w:tc>
        <w:tc>
          <w:tcPr/>
          <w:p>
            <w:pPr>
              <w:pStyle w:val="BodyText"/>
            </w:pPr>
            <w:r>
              <w:t xml:space="preserve">O usuário que tem acesso à API de Web Services do Archer e ao relatório.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Senha</w:t>
            </w:r>
          </w:p>
        </w:tc>
        <w:tc>
          <w:tcPr/>
          <w:p>
            <w:pPr>
              <w:pStyle w:val="BodyText"/>
            </w:pPr>
            <w:r>
              <w:rPr>
                <w:i/>
                <w:iCs/>
              </w:rPr>
              <w:t xml:space="preserve">definido pelo usuário</w:t>
            </w:r>
          </w:p>
        </w:tc>
        <w:tc>
          <w:tcPr/>
          <w:p>
            <w:pPr>
              <w:pStyle w:val="BodyText"/>
            </w:pPr>
            <w:r>
              <w:t xml:space="preserve">A senha da instância no qual o feed de dados será executado.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Instância</w:t>
            </w:r>
          </w:p>
        </w:tc>
        <w:tc>
          <w:tcPr/>
          <w:p>
            <w:pPr>
              <w:pStyle w:val="BodyText"/>
            </w:pPr>
            <w:r>
              <w:rPr>
                <w:i/>
                <w:iCs/>
              </w:rPr>
              <w:t xml:space="preserve">definido pelo usuário</w:t>
            </w:r>
          </w:p>
        </w:tc>
        <w:tc>
          <w:tcPr/>
          <w:p>
            <w:pPr>
              <w:pStyle w:val="BodyText"/>
            </w:pPr>
            <w:r>
              <w:t xml:space="preserve">Por exemplo, South Beach.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Registros por arquivo</w:t>
            </w:r>
          </w:p>
        </w:tc>
        <w:tc>
          <w:tcPr/>
          <w:p>
            <w:pPr>
              <w:pStyle w:val="BodyText"/>
            </w:pPr>
            <w:r>
              <w:t xml:space="preserve">10,000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GUID do aplicativo</w:t>
            </w:r>
          </w:p>
        </w:tc>
        <w:tc>
          <w:tcPr/>
          <w:p>
            <w:pPr>
              <w:pStyle w:val="BodyText"/>
            </w:pPr>
            <w:r>
              <w:rPr>
                <w:i/>
                <w:iCs/>
              </w:rPr>
              <w:t xml:space="preserve">sistema definido</w:t>
            </w:r>
          </w:p>
        </w:tc>
        <w:tc>
          <w:tcPr/>
          <w:p>
            <w:pPr>
              <w:pStyle w:val="BodyText"/>
            </w:pPr>
            <w:r>
              <w:t xml:space="preserve">O aplicativo do qual o feed de dados recupera conteúdo, por exemplo, C6A312AC-F4F1-4F33-BCFD-CE30232400C5.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String de configuração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Por exemplo:</w:t>
            </w:r>
          </w:p>
          <w:p>
            <w:pPr>
              <w:pStyle w:val="BodyText"/>
            </w:pPr>
            <w:r>
              <w:t xml:space="preserve">&lt;Search&gt;&lt;ReturnDomain value="1"/&gt;&lt;ShowFieldName value="1"/&gt;&lt;Display&gt;&lt;Field id="35097"/&gt;&lt;Field id="35096"/&gt;&lt;Field id="35047"/&gt;&lt;Field id="35061"/&gt;&lt;Field id="35057"/&gt;&lt;Field id="35046"/&gt;&lt;Field id="35081"/&gt;&lt;Field id="35094"/&gt;&lt;Field id="34977"/&gt;&lt;Field id="34985"/&gt;&lt;Field id="34998"/&gt;&lt;Field id="34997"/&gt;&lt;Field id="34989"/&gt;&lt;Field id="34988"/&gt;&lt;Field id="34987"/&gt;&lt;Field id="34986"/&gt;&lt;Field id="34984"/&gt;&lt;Field id="34981"/&gt;&lt;Field id="34996"/&gt;&lt;Field id="34995"/&gt;&lt;Field id="34994"/&gt;&lt;Field id="34993"/&gt;&lt;Field id="34992"/&gt;&lt;Field id="34991"/&gt;&lt;Field id="34990"/&gt;&lt;Field id="34980"/&gt;&lt;Field id="35009"/&gt;&lt;Field id="35031"/&gt;&lt;Field id="35029"/&gt;&lt;Field id="35026"/&gt;&lt;Field id="35028"/&gt;&lt;Field id="35024"/&gt;&lt;Field id="35027"/&gt;&lt;Field id="35025"/&gt;&lt;Field id="35051"/&gt;&lt;Field id="35037"/&gt;&lt;Field id="34979"/&gt;&lt;Field id="35032"/&gt;&lt;Field id="34978"/&gt;&lt;Field id="35039"/&gt;&lt;Field id="35022"/&gt;&lt;Field id="35021"/&gt;&lt;Field id="35038"/&gt;&lt;Field id="35020"/&gt;&lt;Field id="35042"/&gt;&lt;Field id="35007"/&gt;&lt;Field id="35045"/&gt;&lt;Field id="35044"/&gt;&lt;Field id="35043"/&gt;&lt;Field id="35002"/&gt;&lt;Field id="34999"/&gt;&lt;Field id="35104"/&gt;&lt;Field id="35107"/&gt;&lt;Field id="35108"/&gt;&lt;Field id="35105"/&gt;&lt;Field id="35106"/&gt;&lt;Field id="35109"/&gt;&lt;Field id="35110"/&gt;&lt;Field id="35115"/&gt;&lt;Field id="35117"/&gt;&lt;Field id="35112"/&gt;&lt;Field id="35113"/&gt;&lt;Field id="35111"/&gt;&lt;Field id="35065"/&gt;&lt;Field id="35116"/&gt;&lt;Field id="35114"/&gt;&lt;/Display&gt;&lt;/Search&gt;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Proxy</w:t>
            </w:r>
          </w:p>
        </w:tc>
        <w:tc>
          <w:tcPr/>
          <w:p>
            <w:pPr>
              <w:pStyle w:val="BodyText"/>
            </w:pPr>
            <w:r>
              <w:t xml:space="preserve">Opção de proxy</w:t>
            </w:r>
          </w:p>
        </w:tc>
        <w:tc>
          <w:tcPr/>
          <w:p>
            <w:pPr>
              <w:pStyle w:val="BodyText"/>
            </w:pPr>
            <w:r>
              <w:rPr>
                <w:i/>
                <w:iCs/>
              </w:rPr>
              <w:t xml:space="preserve">definido pelo usuário</w:t>
            </w:r>
          </w:p>
        </w:tc>
        <w:tc>
          <w:tcPr/>
          <w:p>
            <w:pPr>
              <w:pStyle w:val="BodyText"/>
            </w:pPr>
            <w:r>
              <w:t xml:space="preserve">Selecione a opção aplicável se estiver usando um servidor proxy para executar 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Executar a configuração</w:t>
            </w:r>
          </w:p>
        </w:tc>
        <w:tc>
          <w:tcPr/>
          <w:p>
            <w:pPr>
              <w:pStyle w:val="BodyText"/>
            </w:pPr>
            <w:r>
              <w:t xml:space="preserve">Agendamento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Iniciar</w:t>
            </w:r>
          </w:p>
        </w:tc>
        <w:tc>
          <w:tcPr/>
          <w:p>
            <w:pPr>
              <w:pStyle w:val="BodyText"/>
            </w:pPr>
            <w:r>
              <w:t xml:space="preserve">Clique em Executar agora para executar o feed de dados.</w:t>
            </w:r>
          </w:p>
        </w:tc>
      </w:tr>
    </w:tbl>
    <w:bookmarkEnd w:id="21"/>
    <w:bookmarkStart w:id="23" w:name="X09200154ca4bcabf9be034a723b7e1d1d39b6f4"/>
    <w:p>
      <w:pPr>
        <w:pStyle w:val="Heading2"/>
      </w:pPr>
      <w:r>
        <w:t xml:space="preserve">Tarefa 1: Adicionar um feed de dados de transporte</w:t>
      </w:r>
    </w:p>
    <w:p>
      <w:pPr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Integração &gt; Feeds de dados.</w:t>
      </w:r>
    </w:p>
    <w:p>
      <w:pPr>
        <w:pStyle w:val="Compact"/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t xml:space="preserve">Adicionar</w:t>
      </w:r>
      <w:r>
        <w:t xml:space="preserve"> </w:t>
      </w:r>
      <w:r>
        <w:t xml:space="preserve">para criar um novo feed de dados.</w:t>
      </w:r>
    </w:p>
    <w:p>
      <w:pPr>
        <w:pStyle w:val="Compact"/>
        <w:numPr>
          <w:ilvl w:val="0"/>
          <w:numId w:val="1003"/>
        </w:numPr>
      </w:pPr>
      <w:r>
        <w:t xml:space="preserve">Na seção Informações gerais, faça o seguinte:</w:t>
      </w:r>
    </w:p>
    <w:p>
      <w:pPr>
        <w:numPr>
          <w:ilvl w:val="1"/>
          <w:numId w:val="1004"/>
        </w:numPr>
      </w:pPr>
      <w:r>
        <w:t xml:space="preserve"> Insira o nome e a descrição do feed de dados.</w:t>
      </w:r>
      <w:r>
        <w:br/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alias é preenchido automaticamente quando você define o nome do feed de dados pela primeira vez e salva o feed de dados. Você pode modificar o alias depois de salvar o feed de dados. Os campos restantes na seção Informações gerais são somente leitura e são preenchidos quando o feed de dados é criado, atualizado e executado.</w:t>
      </w:r>
    </w:p>
    <w:p>
      <w:pPr>
        <w:pStyle w:val="Compact"/>
        <w:numPr>
          <w:ilvl w:val="1"/>
          <w:numId w:val="1004"/>
        </w:numPr>
      </w:pPr>
      <w:r>
        <w:t xml:space="preserve">Escolha</w:t>
      </w:r>
      <w:r>
        <w:t xml:space="preserve"> </w:t>
      </w:r>
      <w:r>
        <w:t xml:space="preserve">Selecionar</w:t>
      </w:r>
      <w:r>
        <w:t xml:space="preserve"> </w:t>
      </w:r>
      <w:r>
        <w:t xml:space="preserve">para tornar o feed de dados ativo.</w:t>
      </w:r>
    </w:p>
    <w:p>
      <w:pPr>
        <w:pStyle w:val="Compact"/>
        <w:numPr>
          <w:ilvl w:val="0"/>
          <w:numId w:val="1003"/>
        </w:numPr>
      </w:pPr>
      <w:r>
        <w:t xml:space="preserve">Na seção Informações do feed, faça o seguinte:</w:t>
      </w:r>
    </w:p>
    <w:p>
      <w:pPr>
        <w:pStyle w:val="Compact"/>
        <w:numPr>
          <w:ilvl w:val="1"/>
          <w:numId w:val="1005"/>
        </w:numPr>
      </w:pPr>
      <w:r>
        <w:t xml:space="preserve">No campo Tipo de feed, selecione Somente transporte. Consulte Adicionando feeds de dados padrão para adicionar um feed de dados padrão.</w:t>
      </w:r>
    </w:p>
    <w:p>
      <w:pPr>
        <w:pStyle w:val="Compact"/>
        <w:numPr>
          <w:ilvl w:val="1"/>
          <w:numId w:val="1005"/>
        </w:numPr>
      </w:pPr>
      <w:r>
        <w:t xml:space="preserve">No campo Caminho de destino, digite o caminho do diretório no qual os dados do arquivo de origem exportado são salvos.</w:t>
      </w:r>
    </w:p>
    <w:p>
      <w:pPr>
        <w:pStyle w:val="Compact"/>
        <w:numPr>
          <w:ilvl w:val="1"/>
          <w:numId w:val="1005"/>
        </w:numPr>
      </w:pPr>
      <w:r>
        <w:t xml:space="preserve">No campo Nome da conta de serviço, digite a conta de usuário associada ao feed de dados. Se o usuário não existir, você poderá criar um novo usuário. Digite o nome de usuário. Consulte</w:t>
      </w:r>
      <w:r>
        <w:t xml:space="preserve"> </w:t>
      </w:r>
      <w:hyperlink r:id="rId22">
        <w:r>
          <w:rPr>
            <w:rStyle w:val="Hyperlink"/>
          </w:rPr>
          <w:t xml:space="preserve">Conta de serviço de feeds de dados</w:t>
        </w:r>
      </w:hyperlink>
      <w:r>
        <w:t xml:space="preserve"> </w:t>
      </w:r>
      <w:r>
        <w:t xml:space="preserve">para obter mais informações sobre o Nome da conta de serviço.</w:t>
      </w:r>
    </w:p>
    <w:p>
      <w:pPr>
        <w:numPr>
          <w:ilvl w:val="0"/>
          <w:numId w:val="1003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6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06"/>
        </w:numPr>
      </w:pPr>
      <w:r>
        <w:t xml:space="preserve">Para terminar de configurar o feed mais tarde, clique em Salvar ou Salvar e fechar.</w:t>
      </w:r>
    </w:p>
    <w:bookmarkEnd w:id="23"/>
    <w:bookmarkStart w:id="25" w:name="Tarefa2Configurarumapesquisaderelatório"/>
    <w:p>
      <w:pPr>
        <w:pStyle w:val="Heading2"/>
      </w:pPr>
      <w:r>
        <w:t xml:space="preserve">Tarefa 2: Configurar uma pesquisa de relatório</w:t>
      </w:r>
    </w:p>
    <w:p>
      <w:pPr>
        <w:numPr>
          <w:ilvl w:val="0"/>
          <w:numId w:val="1007"/>
        </w:numPr>
      </w:pPr>
      <w:r>
        <w:t xml:space="preserve">Vá para a guia Conexão de origem do feed de dados.</w:t>
      </w:r>
    </w:p>
    <w:p>
      <w:pPr>
        <w:pStyle w:val="Compact"/>
        <w:numPr>
          <w:ilvl w:val="0"/>
          <w:numId w:val="1007"/>
        </w:numPr>
      </w:pPr>
      <w:r>
        <w:t xml:space="preserve">Na lista Local de origem, selecione um local.</w:t>
      </w:r>
    </w:p>
    <w:p>
      <w:pPr>
        <w:numPr>
          <w:ilvl w:val="0"/>
          <w:numId w:val="1007"/>
        </w:numPr>
      </w:pPr>
      <w:r>
        <w:t xml:space="preserve">Na lista Método de transporte, selecione um tipo de transporte.</w:t>
      </w:r>
    </w:p>
    <w:p>
      <w:pPr>
        <w:numPr>
          <w:ilvl w:val="0"/>
          <w:numId w:val="1007"/>
        </w:numPr>
      </w:pPr>
      <w:r>
        <w:t xml:space="preserve">Na seção Propriedades de log-on, digite as credenciais aplicáveis para fazer log-on na instância do Archer. Você pode especificar se a instância do Archer usa autenticação anônima ou Autenticação do Windows.</w:t>
      </w:r>
    </w:p>
    <w:p>
      <w:pPr>
        <w:numPr>
          <w:ilvl w:val="0"/>
          <w:numId w:val="1007"/>
        </w:numPr>
      </w:pPr>
      <w:r>
        <w:t xml:space="preserve">Na seção Configuração de Transporte, selecione um Tipo de Pesquisa e execute um dos seguintes procedimentos:</w:t>
      </w:r>
    </w:p>
    <w:p>
      <w:pPr>
        <w:numPr>
          <w:ilvl w:val="1"/>
          <w:numId w:val="1008"/>
        </w:numPr>
      </w:pPr>
      <w:r>
        <w:t xml:space="preserve">Digite as credenciais da conta que executa o relatório. Os resultados do relatório serão baseados nas permissões dessa conta.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 conta pode ser um administrador de conteúdo com permissões de acesso total ao conteúdo dos aplicativos. Não utilize a mesma conta que você usou para fazer log-on.</w:t>
      </w:r>
    </w:p>
    <w:p>
      <w:pPr>
        <w:numPr>
          <w:ilvl w:val="1"/>
          <w:numId w:val="1008"/>
        </w:numPr>
      </w:pPr>
      <w:r>
        <w:t xml:space="preserve">Selecione Usar Autenticação do Windows. O logon único deve ser configurado na instância de origem para usar esta opção.</w:t>
      </w:r>
    </w:p>
    <w:p>
      <w:pPr>
        <w:numPr>
          <w:ilvl w:val="0"/>
          <w:numId w:val="1007"/>
        </w:numPr>
      </w:pPr>
      <w:r>
        <w:t xml:space="preserve">Se você selecionou ID do relatório de estatística ou ID do relatório como o Tipo de pesquisa, digite o GUID ou ID do relatório que contém os dados de origem.</w:t>
      </w:r>
    </w:p>
    <w:p>
      <w:pPr>
        <w:numPr>
          <w:ilvl w:val="0"/>
          <w:numId w:val="1007"/>
        </w:numPr>
      </w:pPr>
      <w:r>
        <w:t xml:space="preserve">Digite os nomes de domínio e instância a serem pesquisados.</w:t>
      </w:r>
    </w:p>
    <w:p>
      <w:pPr>
        <w:numPr>
          <w:ilvl w:val="0"/>
          <w:numId w:val="1007"/>
        </w:numPr>
      </w:pPr>
      <w:r>
        <w:t xml:space="preserve">Se você selecionou Pesquisar XML como o Tipo de pesquisa, digite as seguintes informações:</w:t>
      </w:r>
    </w:p>
    <w:p>
      <w:pPr>
        <w:numPr>
          <w:ilvl w:val="1"/>
          <w:numId w:val="1009"/>
        </w:numPr>
      </w:pPr>
      <w:r>
        <w:t xml:space="preserve">Registros por arquivo: O número de arquivos recuperados da chamada API.</w:t>
      </w:r>
    </w:p>
    <w:p>
      <w:pPr>
        <w:numPr>
          <w:ilvl w:val="1"/>
          <w:numId w:val="1009"/>
        </w:numPr>
      </w:pPr>
      <w:r>
        <w:t xml:space="preserve">GUID do aplicativo: o aplicativo que contém os dados de origem.</w:t>
      </w:r>
    </w:p>
    <w:p>
      <w:pPr>
        <w:numPr>
          <w:ilvl w:val="1"/>
          <w:numId w:val="1009"/>
        </w:numPr>
      </w:pPr>
      <w:r>
        <w:t xml:space="preserve">String de configuração: parâmetros passados para o método SearchRecords na API SOAP para executar uma pesquisa.</w:t>
      </w:r>
    </w:p>
    <w:p>
      <w:pPr>
        <w:numPr>
          <w:ilvl w:val="0"/>
          <w:numId w:val="1007"/>
        </w:numPr>
      </w:pPr>
      <w:r>
        <w:t xml:space="preserve">No campo Opção de proxy, selecione Usar proxy do sistema.</w:t>
      </w:r>
    </w:p>
    <w:p>
      <w:pPr>
        <w:numPr>
          <w:ilvl w:val="0"/>
          <w:numId w:val="1007"/>
        </w:numPr>
      </w:pPr>
      <w:r>
        <w:t xml:space="preserve">Nos campos aplicáveis, forneça o nome, a ID da porta e o domínio do servidor proxy e as credenciais do usuário para efetuar logon no servidor proxy.</w:t>
      </w:r>
    </w:p>
    <w:p>
      <w:pPr>
        <w:numPr>
          <w:ilvl w:val="0"/>
          <w:numId w:val="1007"/>
        </w:numPr>
      </w:pPr>
      <w:r>
        <w:t xml:space="preserve">(Opcional) O feed de dados cria uma cópia local dos dados de origem para processamento posterior. Na seção Pós-processamento - Cópia local do arquivo de origem, selecione uma das opções a seguir para especificar como o feed de dados lida com a cópia local dos dados de origem após o processamento dos dados de origem.</w:t>
      </w:r>
    </w:p>
    <w:p>
      <w:pPr>
        <w:pStyle w:val="TableCaption"/>
      </w:pPr>
      <w:r>
        <w:t xml:space="preserve">A tabela a seguir descreve as opções de pós-processamento da cópia local dos dados de origem.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opções de pós-processamento da cópia local dos dados de origem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Excluir</w:t>
            </w:r>
          </w:p>
        </w:tc>
        <w:tc>
          <w:tcPr/>
          <w:p>
            <w:pPr>
              <w:pStyle w:val="BodyText"/>
            </w:pPr>
            <w:r>
              <w:t xml:space="preserve">Exclui o arquivo de origem quando o feed de dados conclui a operação com sucesso. O feed de dados também exclui qualquer cópia local das informações de origem.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Renomear</w:t>
            </w:r>
          </w:p>
        </w:tc>
        <w:tc>
          <w:tcPr/>
          <w:p>
            <w:pPr>
              <w:pStyle w:val="BodyText"/>
            </w:pPr>
            <w:r>
              <w:t xml:space="preserve">Salva o arquivo de origem com um novo nome quando o alimentador de dados conclui a operação com sucesso. Em Caminho e nome do arquivo, especifique o novo nome do arquivo e o local para salvá-lo.</w:t>
            </w:r>
          </w:p>
          <w:p>
            <w:pPr>
              <w:pStyle w:val="BodyText"/>
            </w:pPr>
            <w:r>
              <w:t xml:space="preserve">Para salvar os dados, verifique se a conta que está executando o serviço Mecanismo de trabalho pode acessar o caminho do arquivo de destino.</w:t>
            </w:r>
          </w:p>
          <w:p>
            <w:pPr>
              <w:pStyle w:val="BodyText"/>
            </w:pPr>
            <w:r>
              <w:t xml:space="preserve">Se você selecionar essa opção, use os tokens de nome de arquivo para especificar o local ou o nome do arquivo.</w:t>
            </w:r>
          </w:p>
          <w:p>
            <w:pPr>
              <w:pStyle w:val="Heading3"/>
            </w:pPr>
            <w:bookmarkStart w:id="24" w:name="Tokensdenomedearquivo"/>
            <w:r>
              <w:t xml:space="preserve">Tokens de nome de arquivo</w:t>
            </w:r>
            <w:bookmarkEnd w:id="24"/>
          </w:p>
          <w:p>
            <w:pPr>
              <w:pStyle w:val="FirstParagraph"/>
            </w:pPr>
            <w:r>
              <w:t xml:space="preserve">Filename tokens are available for post processing when you want to save the source information and specify a location or name for the file. When you select the Rename option, you can use tokens to generate unique names automatically for the files.</w:t>
            </w:r>
          </w:p>
          <w:p>
            <w:pPr>
              <w:pStyle w:val="BodyText"/>
            </w:pPr>
            <w:r>
              <w:t xml:space="preserve">Here are the usable tokens for renaming data files.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Now. Insert a user-defined date format within the new filename. Possible formats include Now(MM/dd/yyyy) or Now(MM-dd-yyyy). See the Microsoft .Net Framework Developer Center for available custom date/time formats.</w:t>
            </w:r>
          </w:p>
          <w:p>
            <w:pPr>
              <w:numPr>
                <w:ilvl w:val="0"/>
                <w:numId w:val="1010"/>
              </w:numPr>
            </w:pPr>
            <w:r>
              <w:t xml:space="preserve">DataFileDirectoryName. Update the filename with the directory name, including the drive, of your file.</w:t>
            </w:r>
          </w:p>
          <w:p>
            <w:pPr>
              <w:numPr>
                <w:ilvl w:val="0"/>
                <w:numId w:val="1010"/>
              </w:numPr>
            </w:pPr>
            <w:r>
              <w:t xml:space="preserve">DataFileName. Insert the original filename, excluding the directory name and extension.</w:t>
            </w:r>
          </w:p>
          <w:p>
            <w:pPr>
              <w:numPr>
                <w:ilvl w:val="0"/>
                <w:numId w:val="1010"/>
              </w:numPr>
            </w:pPr>
            <w:r>
              <w:t xml:space="preserve">DataFileExtension. Insert the file extension, such as .csv, in the new filename.</w:t>
            </w:r>
          </w:p>
          <w:p>
            <w:pPr>
              <w:numPr>
                <w:ilvl w:val="0"/>
                <w:numId w:val="1010"/>
              </w:numPr>
            </w:pPr>
            <w:r>
              <w:t xml:space="preserve">DataFileFullName. Insert the fully qualified filename. This data includes the drive, directory, filename, and extension of the original file.</w:t>
            </w:r>
          </w:p>
          <w:p>
            <w:pPr>
              <w:pStyle w:val="FirstParagraph"/>
            </w:pPr>
            <w:r>
              <w:t xml:space="preserve">For example, if the data file came from the following location, C:\DataFeed\Source\ESL\processed\ThreatData.csv, any files renamed using tokens provide the following output.</w:t>
            </w:r>
          </w:p>
          <w:p>
            <w:pPr>
              <w:pStyle w:val="BodyText"/>
            </w:pPr>
            <w:r>
              <w:t xml:space="preserve">Example 1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Input Tokens: {DataFileDirectoryName}\success\{DataFileName}_{Now(MM.dd.yyyy)}.{DataFileExtension}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Output: C:\DataFeed\Source\ESL\processed\success\ThreatData_01.31.2008.csv</w:t>
            </w:r>
          </w:p>
          <w:p>
            <w:pPr>
              <w:pStyle w:val="FirstParagraph"/>
            </w:pPr>
            <w:r>
              <w:t xml:space="preserve">Example 2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Input Tokens: \\DFSRepository\{Now(yyyy)}\{Now(MM)}\{DataFileName}_success.{DataFileExtension}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Output: \\DFSRepository\2008\01\ThreatData_success.csv</w:t>
            </w:r>
          </w:p>
        </w:tc>
      </w:tr>
    </w:tbl>
    <w:p>
      <w:pPr>
        <w:numPr>
          <w:ilvl w:val="0"/>
          <w:numId w:val="1007"/>
        </w:numPr>
      </w:pPr>
      <w:r>
        <w:t xml:space="preserve">Se você selecionou a opção Renomear pós-processamento, digite o local e o nome do novo arquivo que deseja salvar no Caminho do arquivo e no campo Nome.</w:t>
      </w:r>
    </w:p>
    <w:p>
      <w:pPr>
        <w:numPr>
          <w:ilvl w:val="0"/>
          <w:numId w:val="1007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3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13"/>
        </w:numPr>
      </w:pPr>
      <w:r>
        <w:t xml:space="preserve">Para terminar de configurar o feed mais tarde, clique em Salvar ou Salvar e fechar.</w:t>
      </w:r>
    </w:p>
    <w:bookmarkEnd w:id="25"/>
    <w:bookmarkStart w:id="26" w:name="Tarefa3Definiroagendamentodofeeddedados"/>
    <w:p>
      <w:pPr>
        <w:pStyle w:val="Heading2"/>
      </w:pPr>
      <w:r>
        <w:t xml:space="preserve">Tarefa 3: Definir o agendamento do feed de dados</w:t>
      </w:r>
    </w:p>
    <w:p>
      <w:pPr>
        <w:pStyle w:val="FirstParagraph"/>
      </w:pPr>
      <w:r>
        <w:t xml:space="preserve">Você pode configurar feeds de dados para serem executados automaticamente em intervalos regulares. Essa opção reduz o tempo e esforço necessários para importar dados de um arquivo externo. Você pode iniciar feeds de dados em vários momentos e configurá-los para execução em incrementos regulares por um período indefinido.</w:t>
      </w:r>
    </w:p>
    <w:p>
      <w:pPr>
        <w:pStyle w:val="BodyText"/>
      </w:pPr>
      <w:r>
        <w:t xml:space="preserve">Você também pode executar o feed de dados imediatamente.</w:t>
      </w:r>
    </w:p>
    <w:p>
      <w:pPr>
        <w:pStyle w:val="BodyText"/>
      </w:pPr>
      <w:r>
        <w:t xml:space="preserve">Para impedir que o servidor seja sobrecarregado, programe os feeds de dados de forma escalonada.</w:t>
      </w:r>
    </w:p>
    <w:p>
      <w:pPr>
        <w:pStyle w:val="BodyText"/>
      </w:pPr>
      <w:r>
        <w:t xml:space="preserve">Um feed de referência permite que você especifique outro feed. Isso indica ao Serviço de feed de dados que esse feed começará a ser executado assim que o feed de referência for concluído com sucesso. Uma execução de feed de dados bem-sucedida processa todos os dados de entrada, conclui todas as atualizações de registro esperadas e não relata nenhuma falha no relatório Detalhes da execução.</w:t>
      </w:r>
    </w:p>
    <w:p>
      <w:pPr>
        <w:numPr>
          <w:ilvl w:val="0"/>
          <w:numId w:val="1014"/>
        </w:numPr>
      </w:pPr>
      <w:r>
        <w:t xml:space="preserve">Vá para a guia Executar a configuração &gt; seção Agendamento.</w:t>
      </w:r>
    </w:p>
    <w:p>
      <w:pPr>
        <w:numPr>
          <w:ilvl w:val="0"/>
          <w:numId w:val="1014"/>
        </w:numPr>
      </w:pPr>
      <w:r>
        <w:t xml:space="preserve">Siga um destes procedimentos para agendar seu feed de dados.</w:t>
      </w:r>
    </w:p>
    <w:p>
      <w:pPr>
        <w:numPr>
          <w:ilvl w:val="0"/>
          <w:numId w:val="1000"/>
        </w:numPr>
      </w:pPr>
      <w:r>
        <w:t xml:space="preserve">Executar dentro do programado</w:t>
      </w:r>
    </w:p>
    <w:p>
      <w:pPr>
        <w:numPr>
          <w:ilvl w:val="0"/>
          <w:numId w:val="1000"/>
        </w:numPr>
      </w:pPr>
      <w:r>
        <w:t xml:space="preserve">Você pode configurar o feed de dados para ser executado em uma programação definida.</w:t>
      </w:r>
    </w:p>
    <w:p>
      <w:pPr>
        <w:pStyle w:val="TableCaption"/>
      </w:pPr>
      <w:r>
        <w:t xml:space="preserve">A tabela a seguir descreve os campos na opção Executar dentro do programado.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os campos na opção Executar dentro do programad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 de início</w:t>
            </w:r>
          </w:p>
        </w:tc>
        <w:tc>
          <w:tcPr/>
          <w:p>
            <w:pPr>
              <w:pStyle w:val="BodyText"/>
            </w:pPr>
            <w:r>
              <w:t xml:space="preserve">Especifica a data de início do agendamento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Hora de início</w:t>
            </w:r>
          </w:p>
        </w:tc>
        <w:tc>
          <w:tcPr/>
          <w:p>
            <w:pPr>
              <w:pStyle w:val="BodyText"/>
            </w:pPr>
            <w:r>
              <w:t xml:space="preserve">Especifica a hora de início da execução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Fuso horário</w:t>
            </w:r>
          </w:p>
        </w:tc>
        <w:tc>
          <w:tcPr/>
          <w:p>
            <w:pPr>
              <w:pStyle w:val="BodyText"/>
            </w:pPr>
            <w:r>
              <w:t xml:space="preserve">Especifica o fuso horário de início do agendamento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Recurring</w:t>
            </w:r>
          </w:p>
        </w:tc>
        <w:tc>
          <w:tcPr/>
          <w:p>
            <w:pPr>
              <w:pStyle w:val="BodyText"/>
            </w:pPr>
            <w:r>
              <w:t xml:space="preserve">Especifica o intervalo de execução do feed de dados, por exemplo, A cada minuto, Por hora, Diariamente, Semanalmente ou Mensalmente.</w:t>
            </w:r>
          </w:p>
          <w:p>
            <w:pPr>
              <w:numPr>
                <w:ilvl w:val="0"/>
                <w:numId w:val="1015"/>
              </w:numPr>
            </w:pPr>
            <w:r>
              <w:t xml:space="preserve">A cada minuto. Executa o feed de dados conforme o intervalo definido.</w:t>
            </w:r>
          </w:p>
          <w:p>
            <w:pPr>
              <w:numPr>
                <w:ilvl w:val="0"/>
                <w:numId w:val="1000"/>
              </w:numPr>
            </w:pPr>
            <w:r>
              <w:t xml:space="preserve">Por exemplo, se você especificar 45 na lista A cada, o feed de dados será executado a cada 45 minutos.</w:t>
            </w:r>
          </w:p>
          <w:p>
            <w:pPr>
              <w:pStyle w:val="Compact"/>
              <w:numPr>
                <w:ilvl w:val="0"/>
                <w:numId w:val="1015"/>
              </w:numPr>
            </w:pPr>
            <w:r>
              <w:t xml:space="preserve">A cada hora. Executa o feed de dados conforme o intervalo definido, por exemplo, a cada hora (1), em horas alternadas (2) etc.</w:t>
            </w:r>
          </w:p>
          <w:p>
            <w:pPr>
              <w:pStyle w:val="Compact"/>
              <w:numPr>
                <w:ilvl w:val="0"/>
                <w:numId w:val="1015"/>
              </w:numPr>
            </w:pPr>
            <w:r>
              <w:t xml:space="preserve">Diariamente. Executa o feed de dados conforme o intervalo definido, por exemplo, todos os dias (1), em dias alternados (2) etc.</w:t>
            </w:r>
          </w:p>
          <w:p>
            <w:pPr>
              <w:pStyle w:val="Compact"/>
              <w:numPr>
                <w:ilvl w:val="0"/>
                <w:numId w:val="1015"/>
              </w:numPr>
            </w:pPr>
            <w:r>
              <w:t xml:space="preserve">Semanalmente. Executa o feed de dados com base em um dia especificado da semana, por exemplo, quinzenalmente às segundas-feiras (2), a cada três segundas-feiras (3) etc.</w:t>
            </w:r>
          </w:p>
          <w:p>
            <w:pPr>
              <w:pStyle w:val="Compact"/>
              <w:numPr>
                <w:ilvl w:val="0"/>
                <w:numId w:val="1015"/>
              </w:numPr>
            </w:pPr>
            <w:r>
              <w:t xml:space="preserve">Mensalmente. Executa o feed de dados com base em uma semana específica do mês, por exemplo, na primeira segunda-feira de cada mês, na segunda terça-feira de cada terceiro mês e assim por diante.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Cada</w:t>
            </w:r>
          </w:p>
        </w:tc>
        <w:tc>
          <w:tcPr/>
          <w:p>
            <w:pPr>
              <w:pStyle w:val="BodyText"/>
            </w:pPr>
            <w:r>
              <w:t xml:space="preserve">Especifica o intervalo da frequência de execução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Especifica a frequência dos dias da semana em que o feed de dados é executado.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Dia da semana</w:t>
            </w:r>
          </w:p>
        </w:tc>
        <w:tc>
          <w:tcPr/>
          <w:p>
            <w:pPr>
              <w:pStyle w:val="BodyText"/>
            </w:pPr>
            <w:r>
              <w:t xml:space="preserve">Especifica os dias da semana em que o feed de dados é executado.</w:t>
            </w:r>
          </w:p>
        </w:tc>
      </w:tr>
    </w:tbl>
    <w:p>
      <w:pPr>
        <w:numPr>
          <w:ilvl w:val="0"/>
          <w:numId w:val="1000"/>
        </w:numPr>
      </w:pPr>
      <w:r>
        <w:t xml:space="preserve">Executar depois</w:t>
      </w:r>
    </w:p>
    <w:p>
      <w:pPr>
        <w:numPr>
          <w:ilvl w:val="0"/>
          <w:numId w:val="1000"/>
        </w:numPr>
      </w:pPr>
      <w:r>
        <w:t xml:space="preserve">Executa um feed de dados especificado antes da execução atual. O serviço de feed de dados inicia o feed de dados atual depois que o feed de dados referenciado é concluído com sucesso.</w:t>
      </w:r>
    </w:p>
    <w:p>
      <w:pPr>
        <w:numPr>
          <w:ilvl w:val="0"/>
          <w:numId w:val="1000"/>
        </w:numPr>
      </w:pPr>
      <w:r>
        <w:t xml:space="preserve">Por exemplo, você pode determinar que a execução do feed de dados de ameaças ocorra imediatamente após o término do feed de dados de ativos. No menu suspenso Feed de referência, selecione o feed de dados que é executado antes do feed de dados atual.</w:t>
      </w:r>
    </w:p>
    <w:p>
      <w:pPr>
        <w:numPr>
          <w:ilvl w:val="0"/>
          <w:numId w:val="1000"/>
        </w:numPr>
      </w:pPr>
      <w:r>
        <w:t xml:space="preserve">Executar agora</w:t>
      </w:r>
    </w:p>
    <w:p>
      <w:pPr>
        <w:numPr>
          <w:ilvl w:val="0"/>
          <w:numId w:val="1000"/>
        </w:numPr>
      </w:pPr>
      <w:r>
        <w:t xml:space="preserve">Clique no botão Executar agora na barra de ferramentas da página Gerenciar feed de dados para executar o feed de dados manualmente.</w:t>
      </w:r>
    </w:p>
    <w:p>
      <w:pPr>
        <w:numPr>
          <w:ilvl w:val="0"/>
          <w:numId w:val="1014"/>
        </w:numPr>
      </w:pPr>
      <w:r>
        <w:t xml:space="preserve">Para salvar o feed de dados, clique em Salvar ou Salvar e fechar.</w:t>
      </w:r>
    </w:p>
    <w:p>
      <w:pPr>
        <w:numPr>
          <w:ilvl w:val="0"/>
          <w:numId w:val="1014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6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16"/>
        </w:numPr>
      </w:pPr>
      <w:r>
        <w:t xml:space="preserve">Para terminar de configurar o feed mais tarde, clique em Salvar ou Salvar e fechar.</w:t>
      </w:r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int_dfm_basics.htm#Data_feed_service_us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int_dfm_basics.htm#Data_feed_service_us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Adicionando feeds de dados do tipo Archer-to-Archer somente para transferência</dc:title>
  <dc:creator/>
  <cp:keywords/>
  <dcterms:created xsi:type="dcterms:W3CDTF">2025-02-19T12:58:49Z</dcterms:created>
  <dcterms:modified xsi:type="dcterms:W3CDTF">2025-02-19T12:58:49Z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