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Antes de começar</w:t>
      </w:r>
    </w:p>
    <w:bookmarkStart w:id="34" w:name="mc-main-content"/>
    <w:bookmarkStart w:id="33" w:name="antes-de-começar-1"/>
    <w:p>
      <w:pPr>
        <w:pStyle w:val="Heading1"/>
      </w:pPr>
      <w:bookmarkStart w:id="20" w:name="aanchor156"/>
      <w:bookmarkEnd w:id="20"/>
      <w:r>
        <w:t xml:space="preserve"> </w:t>
      </w:r>
      <w:r>
        <w:t xml:space="preserve">Antes de começar</w:t>
      </w:r>
    </w:p>
    <w:p>
      <w:pPr>
        <w:pStyle w:val="FirstParagraph"/>
      </w:pPr>
      <w:r>
        <w:t xml:space="preserve">O empacotamento faz alterações permanentes em seu sistema, portanto, você precisa estar ciente de alguns fatores e certas considerações antes de começar.</w:t>
      </w:r>
    </w:p>
    <w:p>
      <w:pPr>
        <w:pStyle w:val="BodyText"/>
      </w:pPr>
      <w:r>
        <w:t xml:space="preserve">Nesta página</w:t>
      </w:r>
    </w:p>
    <w:p>
      <w:pPr>
        <w:pStyle w:val="Compact"/>
        <w:numPr>
          <w:ilvl w:val="0"/>
          <w:numId w:val="1001"/>
        </w:numPr>
      </w:pPr>
      <w:hyperlink w:anchor="X2e17f889847804349fd01f66c49066865a6a90c">
        <w:r>
          <w:rPr>
            <w:rStyle w:val="Hyperlink"/>
          </w:rPr>
          <w:t xml:space="preserve">Backup e recuperação do banco de dados</w:t>
        </w:r>
      </w:hyperlink>
    </w:p>
    <w:p>
      <w:pPr>
        <w:pStyle w:val="Compact"/>
        <w:numPr>
          <w:ilvl w:val="0"/>
          <w:numId w:val="1001"/>
        </w:numPr>
      </w:pPr>
      <w:hyperlink w:anchor="X923b1100a5ed61b49edcc0f5c56c11445514faa">
        <w:r>
          <w:rPr>
            <w:rStyle w:val="Hyperlink"/>
          </w:rPr>
          <w:t xml:space="preserve">Impacto do empacotamento sobre o desempenho do sistema</w:t>
        </w:r>
      </w:hyperlink>
    </w:p>
    <w:p>
      <w:pPr>
        <w:pStyle w:val="Compact"/>
        <w:numPr>
          <w:ilvl w:val="1"/>
          <w:numId w:val="1002"/>
        </w:numPr>
      </w:pPr>
      <w:hyperlink w:anchor="Tamanhodoarquivodepacotes">
        <w:r>
          <w:rPr>
            <w:rStyle w:val="Hyperlink"/>
          </w:rPr>
          <w:t xml:space="preserve">Tamanho do arquivo de pacotes</w:t>
        </w:r>
      </w:hyperlink>
    </w:p>
    <w:p>
      <w:pPr>
        <w:pStyle w:val="Compact"/>
        <w:numPr>
          <w:ilvl w:val="1"/>
          <w:numId w:val="1002"/>
        </w:numPr>
      </w:pPr>
      <w:hyperlink w:anchor="Tamanhodamem%C3%B3riavirtual">
        <w:r>
          <w:rPr>
            <w:rStyle w:val="Hyperlink"/>
          </w:rPr>
          <w:t xml:space="preserve">Tamanho da memória virtual</w:t>
        </w:r>
      </w:hyperlink>
    </w:p>
    <w:p>
      <w:pPr>
        <w:pStyle w:val="Compact"/>
        <w:numPr>
          <w:ilvl w:val="0"/>
          <w:numId w:val="1001"/>
        </w:numPr>
      </w:pPr>
      <w:hyperlink w:anchor="Regrasdeempacotamento">
        <w:r>
          <w:rPr>
            <w:rStyle w:val="Hyperlink"/>
          </w:rPr>
          <w:t xml:space="preserve">Regras de empacotamento</w:t>
        </w:r>
      </w:hyperlink>
    </w:p>
    <w:p>
      <w:pPr>
        <w:pStyle w:val="Compact"/>
        <w:numPr>
          <w:ilvl w:val="0"/>
          <w:numId w:val="1001"/>
        </w:numPr>
      </w:pPr>
      <w:hyperlink w:anchor="X805917413053ac6dc44add53a589e97acb1c721">
        <w:r>
          <w:rPr>
            <w:rStyle w:val="Hyperlink"/>
          </w:rPr>
          <w:t xml:space="preserve">Instalando um idioma traduzido em outra instância</w:t>
        </w:r>
      </w:hyperlink>
    </w:p>
    <w:p>
      <w:pPr>
        <w:pStyle w:val="Compact"/>
        <w:numPr>
          <w:ilvl w:val="0"/>
          <w:numId w:val="1001"/>
        </w:numPr>
      </w:pPr>
      <w:hyperlink w:anchor="Problemasdelicenciamento">
        <w:r>
          <w:rPr>
            <w:rStyle w:val="Hyperlink"/>
          </w:rPr>
          <w:t xml:space="preserve">Problemas de licenciamento</w:t>
        </w:r>
      </w:hyperlink>
    </w:p>
    <w:p>
      <w:pPr>
        <w:pStyle w:val="Compact"/>
        <w:numPr>
          <w:ilvl w:val="0"/>
          <w:numId w:val="1001"/>
        </w:numPr>
      </w:pPr>
      <w:hyperlink w:anchor="ComoocorremdisparidadesdeIDdesistema">
        <w:r>
          <w:rPr>
            <w:rStyle w:val="Hyperlink"/>
          </w:rPr>
          <w:t xml:space="preserve">Como ocorrem disparidades de ID de sistema</w:t>
        </w:r>
      </w:hyperlink>
    </w:p>
    <w:p>
      <w:pPr>
        <w:pStyle w:val="Compact"/>
        <w:numPr>
          <w:ilvl w:val="0"/>
          <w:numId w:val="1001"/>
        </w:numPr>
      </w:pPr>
      <w:hyperlink w:anchor="X42016eb25a873c1fa9bce2473ac9aab46cfbb58">
        <w:r>
          <w:rPr>
            <w:rStyle w:val="Hyperlink"/>
          </w:rPr>
          <w:t xml:space="preserve">Utilizando empacotamento com os ambientes de desenvolvimento recomendados</w:t>
        </w:r>
      </w:hyperlink>
    </w:p>
    <w:p>
      <w:pPr>
        <w:pStyle w:val="Compact"/>
        <w:numPr>
          <w:ilvl w:val="0"/>
          <w:numId w:val="1001"/>
        </w:numPr>
      </w:pPr>
      <w:hyperlink w:anchor="X70370e47e1712679f1e3eb5893bb544661b880a">
        <w:r>
          <w:rPr>
            <w:rStyle w:val="Hyperlink"/>
          </w:rPr>
          <w:t xml:space="preserve">Empacotamento entre ambientes de diferentes versões</w:t>
        </w:r>
      </w:hyperlink>
    </w:p>
    <w:p>
      <w:pPr>
        <w:pStyle w:val="Compact"/>
        <w:numPr>
          <w:ilvl w:val="0"/>
          <w:numId w:val="1001"/>
        </w:numPr>
      </w:pPr>
      <w:hyperlink w:anchor="Xd66e543c82788aff5884b23cf37a12c7a80c6c0">
        <w:r>
          <w:rPr>
            <w:rStyle w:val="Hyperlink"/>
          </w:rPr>
          <w:t xml:space="preserve">Referências a padrão de controle e fonte de autoria</w:t>
        </w:r>
      </w:hyperlink>
    </w:p>
    <w:bookmarkStart w:id="21" w:name="Backuperecuperaçãodobancodedados"/>
    <w:p>
      <w:pPr>
        <w:pStyle w:val="Heading2"/>
      </w:pPr>
      <w:r>
        <w:t xml:space="preserve">Backup e recuperação do banco de dados</w:t>
      </w:r>
    </w:p>
    <w:p>
      <w:pPr>
        <w:pStyle w:val="FirstParagraph"/>
      </w:pPr>
      <w:r>
        <w:t xml:space="preserve">Não existe a função Desfazer em uma instalação de pacote.</w:t>
      </w:r>
    </w:p>
    <w:p>
      <w:pPr>
        <w:pStyle w:val="BodyText"/>
      </w:pPr>
      <w:r>
        <w:t xml:space="preserve">Faça backup do banco de dados da instância antes de instalar um pacote.</w:t>
      </w:r>
    </w:p>
    <w:p>
      <w:pPr>
        <w:pStyle w:val="BodyText"/>
      </w:pPr>
      <w:r>
        <w:t xml:space="preserve">Um método alternativo para fazer backup da instância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1"/>
    <w:bookmarkStart w:id="24" w:name="X923b1100a5ed61b49edcc0f5c56c11445514faa"/>
    <w:p>
      <w:pPr>
        <w:pStyle w:val="Heading2"/>
      </w:pPr>
      <w:r>
        <w:t xml:space="preserve">Impacto do empacotamento sobre o desempenho do sistema</w:t>
      </w:r>
    </w:p>
    <w:p>
      <w:pPr>
        <w:pStyle w:val="FirstParagraph"/>
      </w:pPr>
      <w:r>
        <w:t xml:space="preserve">O desempenho do sistema pode variar com base no tamanho dos arquivos de pacotes. Um grande número de campos Referência cruzada e questionários pode afetar o desempenho do sistema.</w:t>
      </w:r>
    </w:p>
    <w:p>
      <w:pPr>
        <w:pStyle w:val="BodyText"/>
      </w:pPr>
      <w:r>
        <w:t xml:space="preserve">O Mapeamento avançado de pacotes requer um espaço considerável de memória, o que pode resultar em perda de entrada de dados e erros do navegador ao trabalhar com grandes aplicativos.</w:t>
      </w:r>
    </w:p>
    <w:bookmarkStart w:id="22" w:name="Tamanhodoarquivodepacotes"/>
    <w:p>
      <w:pPr>
        <w:pStyle w:val="Heading3"/>
      </w:pPr>
      <w:r>
        <w:t xml:space="preserve">Tamanho do arquivo de pacotes</w:t>
      </w:r>
    </w:p>
    <w:p>
      <w:pPr>
        <w:pStyle w:val="FirstParagraph"/>
      </w:pPr>
      <w:r>
        <w:t xml:space="preserve">Se os módulos em um pacote contiverem campos Referência cruzada, o arquivo de pacotes incluirá dados adicionais para assegurar que as referências cruzadas sejam mantidas adequadamente. Como resultado, os arquivos de pacotes podem ser muito grandes. Tendo em vista que um questionário contém referências cruzadas com o aplicativo Resultados e esse aplicativo referencia outros aplicativos, um arquivo de pacotes que inclua apenas um questionário poderá se tornar muito grande. Arquivos de pacotes grandes podem tornar lento o desempenho do processo de instalação.</w:t>
      </w:r>
    </w:p>
    <w:p>
      <w:pPr>
        <w:pStyle w:val="BodyText"/>
      </w:pPr>
      <w:r>
        <w:t xml:space="preserve">Para otimizar o desempenho para empacotamento, aumente a RAM nos servidores.</w:t>
      </w:r>
    </w:p>
    <w:bookmarkEnd w:id="22"/>
    <w:bookmarkStart w:id="23" w:name="Tamanhodamemóriavirtual"/>
    <w:p>
      <w:pPr>
        <w:pStyle w:val="Heading3"/>
      </w:pPr>
      <w:r>
        <w:t xml:space="preserve">Tamanho da memória virtual</w:t>
      </w:r>
    </w:p>
    <w:p>
      <w:pPr>
        <w:pStyle w:val="FirstParagraph"/>
      </w:pPr>
      <w:r>
        <w:t xml:space="preserve">As configurações de arquivo de página no servidor em que o Archer Services está sendo executado têm um impacto significativo no desempenho. Se o tamanho do arquivo de página for pequeno demais para todos os processos atuais, o sistema vai gerar um erro de memória insuficiente que poderá causar a perda de funcionalidade ou outros resultados inesperados.</w:t>
      </w:r>
    </w:p>
    <w:p>
      <w:pPr>
        <w:pStyle w:val="BodyText"/>
      </w:pPr>
      <w:r>
        <w:t xml:space="preserve">Uma situação que pode causar essa condição é a instalação de 1 arquivo grande de pacote. A solução é modificar as configurações da memória virtual no sistema operacional para oferecer mais recursos ao Archer Services. É recomendável configurar o sistema operacional para que ele gerencie automaticamente o tamanho do arquivo de página de todas as unidades.</w:t>
      </w:r>
    </w:p>
    <w:p>
      <w:pPr>
        <w:pStyle w:val="BodyText"/>
      </w:pPr>
      <w:r>
        <w:t xml:space="preserve">Essa configuração está em Propriedades do sistema &gt; Opções de desempenho &gt; caixa de diálogo Memória virtual.</w:t>
      </w:r>
    </w:p>
    <w:p>
      <w:pPr>
        <w:pStyle w:val="BodyText"/>
      </w:pPr>
      <w:r>
        <w:t xml:space="preserve">Quando a opção Gerenciar automaticamente o tamanho do arquivo de paginação de todos os drives estiver selecionada, o sistema operacional realizará automaticamente etapas durante as atividades de uso intensivo de recursos para proteger-se de eventual insuficiência de memória.</w:t>
      </w:r>
    </w:p>
    <w:p>
      <w:pPr>
        <w:pStyle w:val="BodyText"/>
      </w:pPr>
      <w:r>
        <w:t xml:space="preserve">Se o servidor da organização estiver configurado com um tamanho fixo para o arquivo de paginação, ainda assim você poderá impedir erros por memória insuficiente configurando o sistema para gerenciar tamanhos de arquivo de paginação em outras unidades. Caso contrário, se o arquivo de paginação for fixo, o sistema poderá ficar sujeito a erros por memória insuficiente durante as atividades de uso intenso de recursos.</w:t>
      </w:r>
    </w:p>
    <w:bookmarkEnd w:id="23"/>
    <w:bookmarkEnd w:id="24"/>
    <w:bookmarkStart w:id="26" w:name="Regrasdeempacotamento"/>
    <w:p>
      <w:pPr>
        <w:pStyle w:val="Heading2"/>
      </w:pPr>
      <w:r>
        <w:t xml:space="preserve">Regras de empacotamento</w:t>
      </w:r>
    </w:p>
    <w:p>
      <w:pPr>
        <w:pStyle w:val="FirstParagraph"/>
      </w:pPr>
      <w:r>
        <w:t xml:space="preserve">O processo de empacotamento exige uma grande quantidade de regras e lógica para determinar como os elementos individuais nos aplicativos e questionários são migrados de uma instância da</w:t>
      </w:r>
      <w:r>
        <w:t xml:space="preserve"> </w:t>
      </w:r>
      <w:r>
        <w:t xml:space="preserve">Archer</w:t>
      </w:r>
      <w:r>
        <w:t xml:space="preserve"> </w:t>
      </w:r>
      <w:r>
        <w:t xml:space="preserve">para outra. Em geral, o Empacotamento não exclui objetos ou configurações de permissão. Ele apenas adiciona novos objetos ou atualiza objetos existentes e configurações de permissão. Layout e workflow são exceções. Neles, o empacotamento substitui as configurações existentes.</w:t>
      </w:r>
    </w:p>
    <w:p>
      <w:pPr>
        <w:pStyle w:val="BodyText"/>
      </w:pPr>
      <w:r>
        <w:t xml:space="preserve">Consulte</w:t>
      </w:r>
      <w:r>
        <w:t xml:space="preserve"> </w:t>
      </w:r>
      <w:hyperlink r:id="rId25">
        <w:r>
          <w:rPr>
            <w:rStyle w:val="Hyperlink"/>
          </w:rPr>
          <w:t xml:space="preserve">Regras de Empacotamento</w:t>
        </w:r>
      </w:hyperlink>
      <w:r>
        <w:t xml:space="preserve"> </w:t>
      </w:r>
      <w:r>
        <w:t xml:space="preserve">para obter informações adicionais sobre regras e lógica.</w:t>
      </w:r>
    </w:p>
    <w:bookmarkEnd w:id="26"/>
    <w:bookmarkStart w:id="27" w:name="Xfd72acc5938ae971f16392da4e43c24ed932204"/>
    <w:p>
      <w:pPr>
        <w:pStyle w:val="Heading2"/>
      </w:pPr>
      <w:r>
        <w:t xml:space="preserve">Instalando um idioma traduzido em outra instância</w:t>
      </w:r>
    </w:p>
    <w:p>
      <w:pPr>
        <w:pStyle w:val="FirstParagraph"/>
      </w:pPr>
      <w:r>
        <w:t xml:space="preserve">Você precisa utilizar a funcionalidade de pacote na</w:t>
      </w:r>
      <w:r>
        <w:t xml:space="preserve"> </w:t>
      </w:r>
      <w:r>
        <w:t xml:space="preserve">Archer</w:t>
      </w:r>
      <w:r>
        <w:t xml:space="preserve"> </w:t>
      </w:r>
      <w:r>
        <w:t xml:space="preserve">para instalar um idioma traduzido em outra instância da</w:t>
      </w:r>
      <w:r>
        <w:t xml:space="preserve"> </w:t>
      </w:r>
      <w:r>
        <w:t xml:space="preserve">Archer</w:t>
      </w:r>
      <w:r>
        <w:t xml:space="preserve">. É possível instalar um idioma traduzido para qualquer um dos seguintes objetos do</w:t>
      </w:r>
      <w:r>
        <w:t xml:space="preserve"> </w:t>
      </w:r>
      <w:r>
        <w:t xml:space="preserve">Archer</w:t>
      </w:r>
      <w:r>
        <w:t xml:space="preserve">:</w:t>
      </w:r>
    </w:p>
    <w:p>
      <w:pPr>
        <w:pStyle w:val="Compact"/>
        <w:numPr>
          <w:ilvl w:val="0"/>
          <w:numId w:val="1003"/>
        </w:numPr>
      </w:pPr>
      <w:r>
        <w:t xml:space="preserve">Aplicativos</w:t>
      </w:r>
    </w:p>
    <w:p>
      <w:pPr>
        <w:pStyle w:val="Compact"/>
        <w:numPr>
          <w:ilvl w:val="0"/>
          <w:numId w:val="1003"/>
        </w:numPr>
      </w:pPr>
      <w:r>
        <w:t xml:space="preserve">Questionários</w:t>
      </w:r>
    </w:p>
    <w:p>
      <w:pPr>
        <w:pStyle w:val="Compact"/>
        <w:numPr>
          <w:ilvl w:val="0"/>
          <w:numId w:val="1003"/>
        </w:numPr>
      </w:pPr>
      <w:r>
        <w:t xml:space="preserve">Áreas de trabalho</w:t>
      </w:r>
    </w:p>
    <w:p>
      <w:pPr>
        <w:pStyle w:val="Compact"/>
        <w:numPr>
          <w:ilvl w:val="0"/>
          <w:numId w:val="1003"/>
        </w:numPr>
      </w:pPr>
      <w:r>
        <w:t xml:space="preserve">Painéis de controle</w:t>
      </w:r>
    </w:p>
    <w:p>
      <w:pPr>
        <w:pStyle w:val="FirstParagraph"/>
      </w:pPr>
      <w:r>
        <w:t xml:space="preserve">As versões da</w:t>
      </w:r>
      <w:r>
        <w:t xml:space="preserve"> </w:t>
      </w:r>
      <w:r>
        <w:t xml:space="preserve">Archer</w:t>
      </w:r>
      <w:r>
        <w:t xml:space="preserve"> </w:t>
      </w:r>
      <w:r>
        <w:t xml:space="preserve">da instância de origem e da instância de destino afetam o tipo de instalação de pacote que você utilizará devido à existência de GUIDs (Global Unique Identifiers, identificadores globais exclusivos) para objetos e dependências, por exemplo, subformulários, que são apresentados nas instâncias. A instalação do idioma de tradução só é bem-sucedida quando há correspondência entre os GUIDs das duas instâncias.</w:t>
      </w:r>
    </w:p>
    <w:bookmarkEnd w:id="27"/>
    <w:bookmarkStart w:id="28" w:name="Problemasdelicenciamento"/>
    <w:p>
      <w:pPr>
        <w:pStyle w:val="Heading2"/>
      </w:pPr>
      <w:r>
        <w:t xml:space="preserve">Problemas de licenciamento</w:t>
      </w:r>
    </w:p>
    <w:p>
      <w:pPr>
        <w:pStyle w:val="FirstParagraph"/>
      </w:pPr>
      <w:r>
        <w:t xml:space="preserve">Se for instalado um pacote com um módulo principal em uma instância de destino na qual ele não existe atualmente, esse módulo principal deverá ser licenciado antes da instalação do pacote na instância de destino.</w:t>
      </w:r>
    </w:p>
    <w:p>
      <w:pPr>
        <w:pStyle w:val="BodyText"/>
      </w:pPr>
      <w:r>
        <w:t xml:space="preserve">A instalação do pacote verifica se estão licenciados na instância de destino os principais aplicativos, painéis de controle, soluções e áreas de trabalho. Se a instância de destino não tiver as licenças apropriadas, os objetos não serão instalados e os erros serão registrados no arquivo de Registro do pacote. Em alguns casos, ocorrem erros na instalação de pacotes que contêm os principais aplicativos com as licenças apropriadas, mas que ainda não foram instalados na instância de destino.</w:t>
      </w:r>
    </w:p>
    <w:p>
      <w:pPr>
        <w:pStyle w:val="BodyText"/>
      </w:pPr>
      <w:r>
        <w:t xml:space="preserve">A solução é aplicar as chaves de licença novamente após a instalação do pacote e instalar o pacote novamente.</w:t>
      </w:r>
    </w:p>
    <w:bookmarkEnd w:id="28"/>
    <w:bookmarkStart w:id="29" w:name="ComoocorremdisparidadesdeIDdesistema"/>
    <w:p>
      <w:pPr>
        <w:pStyle w:val="Heading2"/>
      </w:pPr>
      <w:r>
        <w:t xml:space="preserve">Como ocorrem disparidades de ID de sistema</w:t>
      </w:r>
    </w:p>
    <w:p>
      <w:pPr>
        <w:pStyle w:val="FirstParagraph"/>
      </w:pPr>
      <w:r>
        <w:t xml:space="preserve">Disparidades em IDs do sistema ocorrem quando um usuário cria manualmente um objeto na instância de origem e, em seguida, recria o mesmo objeto manualmente em outra instância. Já que IDs do sistema são atribuídos aleatoriamente a objetos quando eles são criados, os IDs do sistema de cada um desses objetos serão diferentes.</w:t>
      </w:r>
    </w:p>
    <w:p>
      <w:pPr>
        <w:pStyle w:val="BodyText"/>
      </w:pPr>
      <w:r>
        <w:t xml:space="preserve">Já que as disparidades de IDs do sistema ocorrem quando o mesmo objeto é criado manualmente em diversas instâncias, a maneira mais simples de evitá-las é usar o Empacotamento para copiar todas as alterações de 1 instância para outra.</w:t>
      </w:r>
    </w:p>
    <w:bookmarkEnd w:id="29"/>
    <w:bookmarkStart w:id="30" w:name="X42016eb25a873c1fa9bce2473ac9aab46cfbb58"/>
    <w:p>
      <w:pPr>
        <w:pStyle w:val="Heading2"/>
      </w:pPr>
      <w:r>
        <w:t xml:space="preserve">Utilizando empacotamento com os ambientes de desenvolvimento recomendados</w:t>
      </w:r>
    </w:p>
    <w:p>
      <w:pPr>
        <w:pStyle w:val="FirstParagraph"/>
      </w:pPr>
      <w:r>
        <w:t xml:space="preserve">O ambiente de desenvolvimento recomendado consiste em 3 instâncias da</w:t>
      </w:r>
      <w:r>
        <w:t xml:space="preserve"> </w:t>
      </w:r>
      <w:r>
        <w:t xml:space="preserve">Archer</w:t>
      </w:r>
      <w:r>
        <w:t xml:space="preserve">:</w:t>
      </w:r>
    </w:p>
    <w:p>
      <w:pPr>
        <w:pStyle w:val="Compact"/>
        <w:numPr>
          <w:ilvl w:val="0"/>
          <w:numId w:val="1004"/>
        </w:numPr>
      </w:pPr>
      <w:r>
        <w:t xml:space="preserve">Desenvolvimento</w:t>
      </w:r>
    </w:p>
    <w:p>
      <w:pPr>
        <w:pStyle w:val="Compact"/>
        <w:numPr>
          <w:ilvl w:val="0"/>
          <w:numId w:val="1004"/>
        </w:numPr>
      </w:pPr>
      <w:r>
        <w:t xml:space="preserve">Testar</w:t>
      </w:r>
    </w:p>
    <w:p>
      <w:pPr>
        <w:pStyle w:val="Compact"/>
        <w:numPr>
          <w:ilvl w:val="0"/>
          <w:numId w:val="1004"/>
        </w:numPr>
      </w:pPr>
      <w:r>
        <w:t xml:space="preserve">Produção</w:t>
      </w:r>
    </w:p>
    <w:p>
      <w:pPr>
        <w:pStyle w:val="FirstParagraph"/>
      </w:pPr>
      <w:r>
        <w:t xml:space="preserve">Quando são feitas alterações na</w:t>
      </w:r>
      <w:r>
        <w:t xml:space="preserve"> </w:t>
      </w:r>
      <w:r>
        <w:t xml:space="preserve">Archer</w:t>
      </w:r>
      <w:r>
        <w:t xml:space="preserve">, o workflow típico envolve, primeiro, a criação das alterações na instância de desenvolvimento, depois, a cópia delas para a instância de teste com o propósito de realizar testes e verificações e, por fim, a cópia delas para a instância de produção.</w:t>
      </w:r>
    </w:p>
    <w:p>
      <w:pPr>
        <w:pStyle w:val="BodyText"/>
      </w:pPr>
      <w:r>
        <w:t xml:space="preserve">Ao invés de criar manualmente os objetos em cada instância, o Empacotamento pode aplicar as alterações eficientemente a cada instância.</w:t>
      </w:r>
    </w:p>
    <w:p>
      <w:pPr>
        <w:pStyle w:val="BodyText"/>
      </w:pPr>
      <w:r>
        <w:t xml:space="preserve">O ideal é que cada uma dessas instâncias contenha o mesmo banco de dados. Entretanto, em grandes organizações ou organizações com políticas de segurança rigorosas, as instâncias de desenvolvimento e teste têm bancos de dados de testes com um pequeno conjunto de dados de exemplos. Como resultado, alguns testes não podem ser completamente validados até que os objetos sejam movidos do teste para instâncias de produção.</w:t>
      </w:r>
    </w:p>
    <w:bookmarkEnd w:id="30"/>
    <w:bookmarkStart w:id="31" w:name="Xd65dc5c01b5fef4a1c5f168ee4fff480bd447c2"/>
    <w:p>
      <w:pPr>
        <w:pStyle w:val="Heading2"/>
      </w:pPr>
      <w:r>
        <w:t xml:space="preserve">Empacotamento entre ambientes de diferentes versões</w:t>
      </w:r>
    </w:p>
    <w:p>
      <w:pPr>
        <w:pStyle w:val="FirstParagraph"/>
      </w:pPr>
      <w:r>
        <w:t xml:space="preserve">Este recurso está disponível apenas para implementações Archer SaaS e hospedadas.</w:t>
      </w:r>
    </w:p>
    <w:p>
      <w:pPr>
        <w:pStyle w:val="BodyText"/>
      </w:pPr>
      <w:r>
        <w:t xml:space="preserve">Pacotes criados em ambientes que não sejam de produção podem ser instalados em ambientes de produção. Durante a janela de atualização, os usuários podem implementar continuamente novas soluções em seus ambientes de produção.</w:t>
      </w:r>
    </w:p>
    <w:p>
      <w:pPr>
        <w:pStyle w:val="BodyText"/>
      </w:pPr>
      <w:r>
        <w:t xml:space="preserve">Por exemplo, pacotes criados em um ambiente que não seja de produção executando o Archer versão 6.14.0.1 podem ser instalados em um ambiente de produção executando o Archer versão 6.14 ou anterior.</w:t>
      </w:r>
    </w:p>
    <w:p>
      <w:pPr>
        <w:pStyle w:val="BodyText"/>
      </w:pPr>
      <w:r>
        <w:rPr>
          <w:b/>
          <w:bCs/>
        </w:rPr>
        <w:t xml:space="preserve">Importante:</w:t>
      </w:r>
      <w:r>
        <w:t xml:space="preserve"> </w:t>
      </w:r>
      <w:r>
        <w:t xml:space="preserve">O Archer recomenda que os pacotes criados em versões mais recentes do Archer não incluam novos recursos, pois isso pode causar falha na instalação de pacotes em versões anteriores.</w:t>
      </w:r>
    </w:p>
    <w:bookmarkEnd w:id="31"/>
    <w:bookmarkStart w:id="32" w:name="X7c2d456b5dfd56e1c3e10a19bd0569874efe2b3"/>
    <w:p>
      <w:pPr>
        <w:pStyle w:val="Heading2"/>
      </w:pPr>
      <w:r>
        <w:t xml:space="preserve">Referências a padrão de controle e fonte de autoria</w:t>
      </w:r>
    </w:p>
    <w:p>
      <w:pPr>
        <w:pStyle w:val="FirstParagraph"/>
      </w:pPr>
      <w:r>
        <w:t xml:space="preserve">Podem ser adicionadas referências a origens confiáveis e normas de controle, mas aquelas previamente existentes não são removidas pela instalação do pacote.</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pkg_rules.htm" TargetMode="External" /></Relationships>
</file>

<file path=word/_rels/footnotes.xml.rels><?xml version="1.0" encoding="UTF-8"?><Relationships xmlns="http://schemas.openxmlformats.org/package/2006/relationships"><Relationship Type="http://schemas.openxmlformats.org/officeDocument/2006/relationships/hyperlink" Id="rId25" Target="pkg_rule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Antes de começar</dc:title>
  <dc:creator/>
  <cp:keywords/>
  <dcterms:created xsi:type="dcterms:W3CDTF">2025-02-19T13:00:33Z</dcterms:created>
  <dcterms:modified xsi:type="dcterms:W3CDTF">2025-02-19T13:00:33Z</dcterms:modified>
</cp:coreProperties>
</file>

<file path=docProps/custom.xml><?xml version="1.0" encoding="utf-8"?>
<Properties xmlns="http://schemas.openxmlformats.org/officeDocument/2006/custom-properties" xmlns:vt="http://schemas.openxmlformats.org/officeDocument/2006/docPropsVTypes"/>
</file>