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Criação e gerenciamento de áreas de trabalho</w:t>
      </w:r>
    </w:p>
    <w:bookmarkStart w:id="36" w:name="mc-main-content"/>
    <w:bookmarkStart w:id="35" w:name="Xe09e955fb21a7dabb59b376bcf55cf5690347ca"/>
    <w:p>
      <w:pPr>
        <w:pStyle w:val="Heading1"/>
      </w:pPr>
      <w:bookmarkStart w:id="20" w:name="aanchor165"/>
      <w:bookmarkEnd w:id="20"/>
      <w:r>
        <w:t xml:space="preserve"> </w:t>
      </w:r>
      <w:r>
        <w:t xml:space="preserve">Criação e gerenciamento de áreas de trabalho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1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 geralmente tratam de uma única área de negócios, com painéis de controle para diferentes usuários dentro dessa área.</w:t>
      </w:r>
    </w:p>
    <w:p>
      <w:pPr>
        <w:pStyle w:val="BodyText"/>
      </w:pPr>
      <w:r>
        <w:t xml:space="preserve">Toda vez que um administrador do Gerador de aplicativos cria uma</w:t>
      </w:r>
      <w:r>
        <w:t xml:space="preserve"> </w:t>
      </w:r>
      <w:hyperlink r:id="rId23">
        <w:r>
          <w:rPr>
            <w:rStyle w:val="Hyperlink"/>
          </w:rPr>
          <w:t xml:space="preserve">solução</w:t>
        </w:r>
      </w:hyperlink>
      <w:r>
        <w:t xml:space="preserve">, uma</w:t>
      </w:r>
      <w:r>
        <w:t xml:space="preserve"> </w:t>
      </w:r>
      <w:hyperlink r:id="rId24">
        <w:r>
          <w:rPr>
            <w:rStyle w:val="Hyperlink"/>
          </w:rPr>
          <w:t xml:space="preserve">área ade trabalho</w:t>
        </w:r>
      </w:hyperlink>
      <w:r>
        <w:t xml:space="preserve"> </w:t>
      </w:r>
      <w:r>
        <w:t xml:space="preserve">é criada automaticamente para ela.</w:t>
      </w:r>
    </w:p>
    <w:p>
      <w:pPr>
        <w:pStyle w:val="BodyText"/>
      </w:pPr>
      <w:r>
        <w:t xml:space="preserve">Também é possível criar uma nova área de trabalho do zero.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ndo%C3%A1reasdetrabalho">
        <w:r>
          <w:rPr>
            <w:rStyle w:val="Hyperlink"/>
          </w:rPr>
          <w:t xml:space="preserve">Criando áreas de trabalho</w:t>
        </w:r>
      </w:hyperlink>
    </w:p>
    <w:p>
      <w:pPr>
        <w:pStyle w:val="Compact"/>
        <w:numPr>
          <w:ilvl w:val="1"/>
          <w:numId w:val="1002"/>
        </w:numPr>
      </w:pPr>
      <w:hyperlink w:anchor="Tarefa1Criaruma%C3%A1readetrabalho">
        <w:r>
          <w:rPr>
            <w:rStyle w:val="Hyperlink"/>
          </w:rPr>
          <w:t xml:space="preserve">Tarefa 1: Criar uma área de trabalho</w:t>
        </w:r>
      </w:hyperlink>
    </w:p>
    <w:p>
      <w:pPr>
        <w:pStyle w:val="Compact"/>
        <w:numPr>
          <w:ilvl w:val="1"/>
          <w:numId w:val="1002"/>
        </w:numPr>
      </w:pPr>
      <w:hyperlink w:anchor="X7da9e207330448842a80f2989ea28675f35d1d9">
        <w:r>
          <w:rPr>
            <w:rStyle w:val="Hyperlink"/>
          </w:rPr>
          <w:t xml:space="preserve">Tarefa 2: Selecionar as soluções a serem exibidas no menu da área de trabalho</w:t>
        </w:r>
      </w:hyperlink>
    </w:p>
    <w:p>
      <w:pPr>
        <w:pStyle w:val="Compact"/>
        <w:numPr>
          <w:ilvl w:val="1"/>
          <w:numId w:val="1002"/>
        </w:numPr>
      </w:pPr>
      <w:hyperlink w:anchor="Tarefa3Adicionarlinksr%C3%A1pidos">
        <w:r>
          <w:rPr>
            <w:rStyle w:val="Hyperlink"/>
          </w:rPr>
          <w:t xml:space="preserve">Tarefa 3: Adicionar links rápidos</w:t>
        </w:r>
      </w:hyperlink>
    </w:p>
    <w:p>
      <w:pPr>
        <w:pStyle w:val="Compact"/>
        <w:numPr>
          <w:ilvl w:val="1"/>
          <w:numId w:val="1002"/>
        </w:numPr>
      </w:pPr>
      <w:hyperlink w:anchor="Tarefa4Adicionarpain%C3%A9isdecontrole">
        <w:r>
          <w:rPr>
            <w:rStyle w:val="Hyperlink"/>
          </w:rPr>
          <w:t xml:space="preserve">Tarefa 4: Adicionar painéis de controle</w:t>
        </w:r>
      </w:hyperlink>
    </w:p>
    <w:p>
      <w:pPr>
        <w:pStyle w:val="Compact"/>
        <w:numPr>
          <w:ilvl w:val="1"/>
          <w:numId w:val="1002"/>
        </w:numPr>
      </w:pPr>
      <w:hyperlink w:anchor="X26079a083db346b56c7c638fd7c9887467da67e">
        <w:r>
          <w:rPr>
            <w:rStyle w:val="Hyperlink"/>
          </w:rPr>
          <w:t xml:space="preserve">Tarefa 5: Determinar quem pode acessar a área de trabalho</w:t>
        </w:r>
      </w:hyperlink>
    </w:p>
    <w:p>
      <w:pPr>
        <w:pStyle w:val="Compact"/>
        <w:numPr>
          <w:ilvl w:val="0"/>
          <w:numId w:val="1001"/>
        </w:numPr>
      </w:pPr>
      <w:hyperlink w:anchor="Gerenciando%C3%A1reasdetrabalho">
        <w:r>
          <w:rPr>
            <w:rStyle w:val="Hyperlink"/>
          </w:rPr>
          <w:t xml:space="preserve">Gerenciando áreas de trabalho</w:t>
        </w:r>
      </w:hyperlink>
    </w:p>
    <w:p>
      <w:pPr>
        <w:pStyle w:val="Compact"/>
        <w:numPr>
          <w:ilvl w:val="1"/>
          <w:numId w:val="1003"/>
        </w:numPr>
      </w:pPr>
      <w:hyperlink w:anchor="Copiaruma%C3%A1readetrabalho">
        <w:r>
          <w:rPr>
            <w:rStyle w:val="Hyperlink"/>
          </w:rPr>
          <w:t xml:space="preserve">Copiar uma área de trabalho</w:t>
        </w:r>
      </w:hyperlink>
    </w:p>
    <w:p>
      <w:pPr>
        <w:pStyle w:val="Compact"/>
        <w:numPr>
          <w:ilvl w:val="1"/>
          <w:numId w:val="1003"/>
        </w:numPr>
      </w:pPr>
      <w:hyperlink w:anchor="Excluiruma%C3%A1readetrabalho">
        <w:r>
          <w:rPr>
            <w:rStyle w:val="Hyperlink"/>
          </w:rPr>
          <w:t xml:space="preserve">Excluir uma área de trabalho</w:t>
        </w:r>
      </w:hyperlink>
    </w:p>
    <w:p>
      <w:pPr>
        <w:pStyle w:val="Compact"/>
        <w:numPr>
          <w:ilvl w:val="1"/>
          <w:numId w:val="1003"/>
        </w:numPr>
      </w:pPr>
      <w:hyperlink w:anchor="Configurarordemdeexibi%C3%A7%C3%A3o">
        <w:r>
          <w:rPr>
            <w:rStyle w:val="Hyperlink"/>
          </w:rPr>
          <w:t xml:space="preserve">Configurar ordem de exibição</w:t>
        </w:r>
      </w:hyperlink>
    </w:p>
    <w:bookmarkStart w:id="30" w:name="Criandoáreasdetrabalho"/>
    <w:p>
      <w:pPr>
        <w:pStyle w:val="Heading2"/>
      </w:pPr>
      <w:r>
        <w:t xml:space="preserve">Criando áreas de trabalho</w:t>
      </w:r>
    </w:p>
    <w:bookmarkStart w:id="25" w:name="Tarefa1Criarumaáreadetrabalho"/>
    <w:p>
      <w:pPr>
        <w:pStyle w:val="Heading3"/>
      </w:pPr>
      <w:r>
        <w:t xml:space="preserve">Tarefa 1: Criar uma área de trabalho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Na seção Informações gerais, informe um nome e a descrição.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esta área de trabalho foi criada automaticamente para uma solução, o nome é pré-preenchido com o nome da solução.</w:t>
      </w:r>
    </w:p>
    <w:p>
      <w:pPr>
        <w:numPr>
          <w:ilvl w:val="0"/>
          <w:numId w:val="1004"/>
        </w:numPr>
      </w:pPr>
      <w:r>
        <w:t xml:space="preserve">Na seção Opções, selecione se a área de trabalho é obrigatória, opcional ou padrão para usuários finais e se eles podem criar painéis de controle pessoais na área de trabalho.</w:t>
      </w:r>
    </w:p>
    <w:p>
      <w:pPr>
        <w:numPr>
          <w:ilvl w:val="0"/>
          <w:numId w:val="1004"/>
        </w:numPr>
      </w:pPr>
      <w:r>
        <w:t xml:space="preserve">(Opcional) Anexe a documentação à área de trabalho.</w:t>
      </w:r>
    </w:p>
    <w:bookmarkEnd w:id="25"/>
    <w:bookmarkStart w:id="26" w:name="Xc23a093341872c82d7889696a0904aad063ecc0"/>
    <w:p>
      <w:pPr>
        <w:pStyle w:val="Heading3"/>
      </w:pPr>
      <w:r>
        <w:t xml:space="preserve">Tarefa 2: Selecionar as soluções a serem exibidas no menu da área de trabalho</w:t>
      </w:r>
      <w:r>
        <w:br/>
      </w:r>
    </w:p>
    <w:p>
      <w:pPr>
        <w:numPr>
          <w:ilvl w:val="0"/>
          <w:numId w:val="1005"/>
        </w:numPr>
      </w:pPr>
      <w:r>
        <w:t xml:space="preserve">Vá para a guia Menu da Área de trabalho.</w:t>
      </w:r>
    </w:p>
    <w:p>
      <w:pPr>
        <w:numPr>
          <w:ilvl w:val="0"/>
          <w:numId w:val="1005"/>
        </w:numPr>
      </w:pPr>
      <w:r>
        <w:t xml:space="preserve">Selecione as soluções que você deseja exibir no menu da área de trabalho. Você pode escolher todas as soluções ou soluções específicas.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que o usuário vê no menu da área de trabalho depende não apenas do que você seleciona aqui, mas de quais soluções ele tem permissão para visualizar.</w:t>
      </w:r>
    </w:p>
    <w:bookmarkEnd w:id="26"/>
    <w:bookmarkStart w:id="27" w:name="Tarefa3Adicionarlinksrápidos"/>
    <w:p>
      <w:pPr>
        <w:pStyle w:val="Heading3"/>
      </w:pPr>
      <w:r>
        <w:t xml:space="preserve">Tarefa 3: Adicionar links rápidos</w:t>
      </w:r>
      <w:r>
        <w:br/>
      </w:r>
    </w:p>
    <w:p>
      <w:pPr>
        <w:pStyle w:val="FirstParagraph"/>
      </w:pPr>
      <w:r>
        <w:t xml:space="preserve">Links rápidos são úteis para permitir acesso rápido a recursos visualizados com frequência. Os 30 primeiros caracteres de cada link rápido são exibidos na barra de ferramentas. Você pode visualizar todos os caracteres e links rápidos clicando nas reticências na barra de ferramentas.</w:t>
      </w:r>
    </w:p>
    <w:p>
      <w:pPr>
        <w:numPr>
          <w:ilvl w:val="0"/>
          <w:numId w:val="1006"/>
        </w:numPr>
      </w:pPr>
      <w:r>
        <w:t xml:space="preserve">Vá para a guia Links rápidos.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Definir as propriedades do link de referência rápida.</w:t>
      </w:r>
    </w:p>
    <w:p>
      <w:pPr>
        <w:numPr>
          <w:ilvl w:val="0"/>
          <w:numId w:val="1006"/>
        </w:numPr>
      </w:pPr>
      <w:r>
        <w:t xml:space="preserve">Na lista Tipo, selecione o tipo de link rápido que deseja adicionar.</w:t>
      </w:r>
    </w:p>
    <w:p>
      <w:pPr>
        <w:numPr>
          <w:ilvl w:val="0"/>
          <w:numId w:val="1006"/>
        </w:numPr>
      </w:pPr>
      <w:r>
        <w:t xml:space="preserve">No campo Link para, selecione ou insira o objeto ao qual deseja vincular. Se você selecionar um link externo, a página será aberta em uma nova guia.</w:t>
      </w:r>
    </w:p>
    <w:p>
      <w:pPr>
        <w:numPr>
          <w:ilvl w:val="0"/>
          <w:numId w:val="1006"/>
        </w:numPr>
      </w:pPr>
      <w:r>
        <w:t xml:space="preserve">Informe um nome de exibição e uma descrição.</w:t>
      </w:r>
    </w:p>
    <w:p>
      <w:pPr>
        <w:numPr>
          <w:ilvl w:val="0"/>
          <w:numId w:val="1006"/>
        </w:numPr>
      </w:pPr>
      <w:r>
        <w:t xml:space="preserve">Repita as etapas 2 a 6 para quaisquer links rápidos adicionais.</w:t>
      </w:r>
    </w:p>
    <w:bookmarkEnd w:id="27"/>
    <w:bookmarkStart w:id="28" w:name="Tarefa4Adicionarpainéisdecontrole"/>
    <w:p>
      <w:pPr>
        <w:pStyle w:val="Heading3"/>
      </w:pPr>
      <w:r>
        <w:t xml:space="preserve">Tarefa 4: Adicionar painéis de controle</w:t>
      </w:r>
    </w:p>
    <w:p>
      <w:pPr>
        <w:pStyle w:val="FirstParagraph"/>
      </w:pPr>
      <w:r>
        <w:t xml:space="preserve">Se você não criou nenhum painel de controle que deseja adicionar a esta área de trabalho, pode pular esta tarefa e retornar para adicioná-lo mais tarde.</w:t>
      </w:r>
    </w:p>
    <w:p>
      <w:pPr>
        <w:numPr>
          <w:ilvl w:val="0"/>
          <w:numId w:val="1007"/>
        </w:numPr>
      </w:pPr>
      <w:r>
        <w:t xml:space="preserve">Vá para a guia Painéis de controle.</w:t>
      </w:r>
    </w:p>
    <w:p>
      <w:pPr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Selecione os painéis de controle que você deseja adicionar e clique em Aplicar.</w:t>
      </w:r>
    </w:p>
    <w:p>
      <w:pPr>
        <w:numPr>
          <w:ilvl w:val="0"/>
          <w:numId w:val="1007"/>
        </w:numPr>
      </w:pPr>
      <w:r>
        <w:t xml:space="preserve">(Opcional) Para reorganizar a ordem desses painéis, clique em</w:t>
      </w:r>
      <w:r>
        <w:t xml:space="preserve"> </w:t>
      </w:r>
      <w:r>
        <w:t xml:space="preserve">Reordenar</w:t>
      </w:r>
      <w:r>
        <w:t xml:space="preserve">.</w:t>
      </w:r>
    </w:p>
    <w:bookmarkEnd w:id="28"/>
    <w:bookmarkStart w:id="29" w:name="X8ad9c96be6e676fc5b4e63b6c9cf2ab92c2e832"/>
    <w:p>
      <w:pPr>
        <w:pStyle w:val="Heading3"/>
      </w:pPr>
      <w:r>
        <w:t xml:space="preserve">Tarefa 5: Determinar quem pode acessar a área de trabalho</w:t>
      </w:r>
    </w:p>
    <w:p>
      <w:pPr>
        <w:numPr>
          <w:ilvl w:val="0"/>
          <w:numId w:val="1008"/>
        </w:numPr>
      </w:pPr>
      <w:r>
        <w:t xml:space="preserve">Vá para a guia Acesso.</w:t>
      </w:r>
    </w:p>
    <w:p>
      <w:pPr>
        <w:numPr>
          <w:ilvl w:val="0"/>
          <w:numId w:val="1008"/>
        </w:numPr>
      </w:pPr>
      <w:r>
        <w:t xml:space="preserve">Selecione se deseja que a área de trabalho seja pública ou privada. Se você selecionar privado, selecione usuários, grupos, funções ou soluções aos quais deseja conceder acesso.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esta área de trabalho foi criada automaticamente para uma solução, o administrador que criou a solução recebe direitos de acesso automaticamente.</w:t>
      </w:r>
    </w:p>
    <w:p>
      <w:pPr>
        <w:numPr>
          <w:ilvl w:val="0"/>
          <w:numId w:val="1008"/>
        </w:numPr>
      </w:pPr>
      <w:r>
        <w:t xml:space="preserve">Clique em Salvar.</w:t>
      </w:r>
    </w:p>
    <w:bookmarkEnd w:id="29"/>
    <w:bookmarkEnd w:id="30"/>
    <w:bookmarkStart w:id="34" w:name="Gerenciandoáreasdetrabalho"/>
    <w:p>
      <w:pPr>
        <w:pStyle w:val="Heading2"/>
      </w:pPr>
      <w:r>
        <w:t xml:space="preserve">Gerenciando áreas de trabalho</w:t>
      </w:r>
    </w:p>
    <w:p>
      <w:pPr>
        <w:pStyle w:val="FirstParagraph"/>
      </w:pPr>
      <w:r>
        <w:t xml:space="preserve">A página Gerenciar áreas de trabalho é seu ponto de partida para todas as tarefas da área de trabalho. Você pode visualizar, copiar e excluir área de trabalho existentes, criar novas áreas de trabalho e configurar sua ordem de exibição.</w:t>
      </w:r>
    </w:p>
    <w:bookmarkStart w:id="31" w:name="Copiarumaáreadetrabalho"/>
    <w:p>
      <w:pPr>
        <w:pStyle w:val="Heading3"/>
      </w:pPr>
      <w:r>
        <w:t xml:space="preserve">Copiar uma área de trabalho</w:t>
      </w:r>
    </w:p>
    <w:p>
      <w:pPr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controle, e clique em Áreas de trabalho.</w:t>
      </w:r>
    </w:p>
    <w:p>
      <w:pPr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 </w:t>
      </w:r>
      <w:r>
        <w:t xml:space="preserve">na coluna Ações para criar uma cópia de uma área de trabalho a partir de uma área de trabalho existente.</w:t>
      </w:r>
    </w:p>
    <w:p>
      <w:pPr>
        <w:numPr>
          <w:ilvl w:val="0"/>
          <w:numId w:val="1009"/>
        </w:numPr>
      </w:pPr>
      <w:r>
        <w:t xml:space="preserve">Atualize a área de trabalho conforme necessário e clique em Salvar.</w:t>
      </w:r>
    </w:p>
    <w:bookmarkEnd w:id="31"/>
    <w:bookmarkStart w:id="32" w:name="Excluirumaáreadetrabalho"/>
    <w:p>
      <w:pPr>
        <w:pStyle w:val="Heading3"/>
      </w:pPr>
      <w:r>
        <w:t xml:space="preserve">Excluir uma área de trabalho</w:t>
      </w:r>
    </w:p>
    <w:p>
      <w:pPr>
        <w:pStyle w:val="FirstParagraph"/>
      </w:pPr>
      <w:r>
        <w:t xml:space="preserve">A exclusão permanente de uma área de trabalho remove a área de trabalho e todos os painéis de controle pessoais associados do banco de dados. A exclusão de uma área de trabalho não exclui nenhum painel de controle global associado à área de trabalho.</w:t>
      </w:r>
    </w:p>
    <w:p>
      <w:pPr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controle, e clique em Áreas de trabalho.</w:t>
      </w:r>
    </w:p>
    <w:p>
      <w:pPr>
        <w:numPr>
          <w:ilvl w:val="0"/>
          <w:numId w:val="1010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coluna Ações.</w:t>
      </w:r>
    </w:p>
    <w:p>
      <w:pPr>
        <w:numPr>
          <w:ilvl w:val="0"/>
          <w:numId w:val="1010"/>
        </w:numPr>
      </w:pPr>
      <w:r>
        <w:t xml:space="preserve">Clique em Excluir.</w:t>
      </w:r>
    </w:p>
    <w:bookmarkEnd w:id="32"/>
    <w:bookmarkStart w:id="33" w:name="Configurarordemdeexibição"/>
    <w:p>
      <w:pPr>
        <w:pStyle w:val="Heading3"/>
      </w:pPr>
      <w:r>
        <w:t xml:space="preserve">Configurar ordem de exibição</w:t>
      </w:r>
    </w:p>
    <w:p>
      <w:pPr>
        <w:pStyle w:val="FirstParagraph"/>
      </w:pPr>
      <w:r>
        <w:t xml:space="preserve">Se você tiver muitas áreas de trabalho, talvez nem todas sejam exibidas no menu de navegação. Nesse caso, uma guia Mais é exibida para permitir que você acesse essas áreas de trabalho adicionais. Você pode configurar a ordem de exibição para que suas áreas de trabalho mais importantes estejam sempre visíveis.</w:t>
      </w:r>
    </w:p>
    <w:p>
      <w:pPr>
        <w:pStyle w:val="Compact"/>
        <w:numPr>
          <w:ilvl w:val="0"/>
          <w:numId w:val="101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controle, e clique em Áreas de trabalho.</w:t>
      </w:r>
    </w:p>
    <w:p>
      <w:pPr>
        <w:pStyle w:val="Compact"/>
        <w:numPr>
          <w:ilvl w:val="0"/>
          <w:numId w:val="1011"/>
        </w:numPr>
      </w:pPr>
      <w:r>
        <w:t xml:space="preserve">Clique em</w:t>
      </w:r>
      <w:r>
        <w:t xml:space="preserve"> </w:t>
      </w:r>
      <w:r>
        <w:t xml:space="preserve">Reordenar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Arraste as áreas de trabalho para uma nova ordem e clique em Aplicar.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4" Target="dshbrd_workspaces_dashboard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4" Target="dshbrd_workspaces_dashboard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Criação e gerenciamento de áreas de trabalho</dc:title>
  <dc:creator/>
  <cp:keywords/>
  <dcterms:created xsi:type="dcterms:W3CDTF">2025-02-19T13:01:43Z</dcterms:created>
  <dcterms:modified xsi:type="dcterms:W3CDTF">2025-02-19T13:01:43Z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