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Definir um idioma do sistema</w:t>
      </w:r>
    </w:p>
    <w:bookmarkStart w:id="25" w:name="mc-main-content"/>
    <w:bookmarkStart w:id="24" w:name="X05375375019fb6d5677a50339b2972fe05e68bb"/>
    <w:p>
      <w:pPr>
        <w:pStyle w:val="Heading1"/>
      </w:pPr>
      <w:bookmarkStart w:id="20" w:name="aanchor110"/>
      <w:bookmarkEnd w:id="20"/>
      <w:r>
        <w:t xml:space="preserve"> </w:t>
      </w:r>
      <w:r>
        <w:t xml:space="preserve">Configurando um idioma do sistema - Globalização</w:t>
      </w:r>
    </w:p>
    <w:p>
      <w:pPr>
        <w:pStyle w:val="FirstParagraph"/>
      </w:pPr>
      <w:r>
        <w:t xml:space="preserve">No Archer, a globalização envolve idiomas, localidades e tradução. Os recursos de globalização do Archer permitem que administradores e usuários definam seu idioma preferido, a localidade e o fuso horário para atender a suas necessidades linguísticas e culturais.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iomas">
        <w:r>
          <w:rPr>
            <w:rStyle w:val="Hyperlink"/>
          </w:rPr>
          <w:t xml:space="preserve">Idiomas</w:t>
        </w:r>
      </w:hyperlink>
    </w:p>
    <w:p>
      <w:pPr>
        <w:pStyle w:val="Compact"/>
        <w:numPr>
          <w:ilvl w:val="0"/>
          <w:numId w:val="1001"/>
        </w:numPr>
      </w:pPr>
      <w:hyperlink w:anchor="Localidades">
        <w:r>
          <w:rPr>
            <w:rStyle w:val="Hyperlink"/>
          </w:rPr>
          <w:t xml:space="preserve">Localidades</w:t>
        </w:r>
      </w:hyperlink>
    </w:p>
    <w:p>
      <w:pPr>
        <w:pStyle w:val="Compact"/>
        <w:numPr>
          <w:ilvl w:val="0"/>
          <w:numId w:val="1001"/>
        </w:numPr>
      </w:pPr>
      <w:hyperlink w:anchor="Tradu%C3%A7%C3%B5es">
        <w:r>
          <w:rPr>
            <w:rStyle w:val="Hyperlink"/>
          </w:rPr>
          <w:t xml:space="preserve">Traduções</w:t>
        </w:r>
      </w:hyperlink>
    </w:p>
    <w:bookmarkStart w:id="21" w:name="Idiomas"/>
    <w:p>
      <w:pPr>
        <w:pStyle w:val="Heading2"/>
      </w:pPr>
      <w:r>
        <w:t xml:space="preserve">Idiomas</w:t>
      </w:r>
    </w:p>
    <w:p>
      <w:pPr>
        <w:pStyle w:val="FirstParagraph"/>
      </w:pPr>
      <w:r>
        <w:t xml:space="preserve">Há traduções do conteúdo de navegação, soluções e documentação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disponíveis em vários idiomas para licenciamento. Um idioma deve ser licenciado e ativado em uma instância para disponibilizar as traduções da navegação do</w:t>
      </w:r>
      <w:r>
        <w:t xml:space="preserve"> </w:t>
      </w:r>
      <w:r>
        <w:t xml:space="preserve">Archer</w:t>
      </w:r>
      <w:r>
        <w:t xml:space="preserve">. Pelo menos 1 licença de idioma vem incluída na licença do produto original e é definida como o idioma padrão durante a instalação. Você pode adicionar licenças de idiomas para oferecer mais traduções a seus usuários.</w:t>
      </w:r>
    </w:p>
    <w:p>
      <w:pPr>
        <w:pStyle w:val="BodyText"/>
      </w:pPr>
      <w:r>
        <w:t xml:space="preserve">A navegação da</w:t>
      </w:r>
      <w:r>
        <w:t xml:space="preserve"> </w:t>
      </w:r>
      <w:r>
        <w:t xml:space="preserve">Archer</w:t>
      </w:r>
      <w:r>
        <w:t xml:space="preserve"> </w:t>
      </w:r>
      <w:r>
        <w:t xml:space="preserve">é exibida aos usuários no idioma associado à localidade deles. Se o idioma associado à localidade deles não estiver ativo, será exibido o idioma padrão. Os administradores associam locais a um idioma para exibir formatos usados para datas e moeda, bem como funções do</w:t>
      </w:r>
      <w:r>
        <w:t xml:space="preserve"> </w:t>
      </w:r>
      <w:r>
        <w:t xml:space="preserve">Archer</w:t>
      </w:r>
      <w:r>
        <w:t xml:space="preserve"> </w:t>
      </w:r>
      <w:r>
        <w:t xml:space="preserve">localizadas, como cálculos, filtragem baseada em tempo e geração de relatórios.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dá suporte aos seguintes idiomas:</w:t>
      </w:r>
    </w:p>
    <w:p>
      <w:pPr>
        <w:numPr>
          <w:ilvl w:val="0"/>
          <w:numId w:val="1002"/>
        </w:numPr>
      </w:pPr>
      <w:r>
        <w:t xml:space="preserve">Chinês (simplificado)</w:t>
      </w:r>
    </w:p>
    <w:p>
      <w:pPr>
        <w:numPr>
          <w:ilvl w:val="0"/>
          <w:numId w:val="1002"/>
        </w:numPr>
      </w:pPr>
      <w:r>
        <w:t xml:space="preserve">Inglês</w:t>
      </w:r>
    </w:p>
    <w:p>
      <w:pPr>
        <w:numPr>
          <w:ilvl w:val="0"/>
          <w:numId w:val="1002"/>
        </w:numPr>
      </w:pPr>
      <w:r>
        <w:t xml:space="preserve">Francês</w:t>
      </w:r>
    </w:p>
    <w:p>
      <w:pPr>
        <w:numPr>
          <w:ilvl w:val="0"/>
          <w:numId w:val="1002"/>
        </w:numPr>
      </w:pPr>
      <w:r>
        <w:t xml:space="preserve">Alemão</w:t>
      </w:r>
    </w:p>
    <w:p>
      <w:pPr>
        <w:numPr>
          <w:ilvl w:val="0"/>
          <w:numId w:val="1002"/>
        </w:numPr>
      </w:pPr>
      <w:r>
        <w:t xml:space="preserve">Italiano</w:t>
      </w:r>
    </w:p>
    <w:p>
      <w:pPr>
        <w:numPr>
          <w:ilvl w:val="0"/>
          <w:numId w:val="1002"/>
        </w:numPr>
      </w:pPr>
      <w:r>
        <w:t xml:space="preserve">Japonês</w:t>
      </w:r>
    </w:p>
    <w:p>
      <w:pPr>
        <w:numPr>
          <w:ilvl w:val="0"/>
          <w:numId w:val="1002"/>
        </w:numPr>
      </w:pPr>
      <w:r>
        <w:t xml:space="preserve">Coreano</w:t>
      </w:r>
    </w:p>
    <w:p>
      <w:pPr>
        <w:numPr>
          <w:ilvl w:val="0"/>
          <w:numId w:val="1002"/>
        </w:numPr>
      </w:pPr>
      <w:r>
        <w:t xml:space="preserve">Português (brasileiro)</w:t>
      </w:r>
    </w:p>
    <w:p>
      <w:pPr>
        <w:numPr>
          <w:ilvl w:val="0"/>
          <w:numId w:val="1002"/>
        </w:numPr>
      </w:pPr>
      <w:r>
        <w:t xml:space="preserve">Espanhol</w:t>
      </w:r>
    </w:p>
    <w:bookmarkEnd w:id="21"/>
    <w:bookmarkStart w:id="22" w:name="Localidades"/>
    <w:p>
      <w:pPr>
        <w:pStyle w:val="Heading2"/>
      </w:pPr>
      <w:r>
        <w:t xml:space="preserve">Localidades</w:t>
      </w:r>
    </w:p>
    <w:p>
      <w:pPr>
        <w:pStyle w:val="FirstParagraph"/>
      </w:pPr>
      <w:r>
        <w:t xml:space="preserve">As localidades são definidas por idioma e país para permitir que os usuários vejam o conteúdo do</w:t>
      </w:r>
      <w:r>
        <w:t xml:space="preserve"> </w:t>
      </w:r>
      <w:r>
        <w:t xml:space="preserve">Archer</w:t>
      </w:r>
      <w:r>
        <w:t xml:space="preserve"> </w:t>
      </w:r>
      <w:r>
        <w:t xml:space="preserve">no formato aplicável à sua cultura. Uma localidade só pode ser associada a 1 idioma e várias localidades podem ser associadas ao mesmo idioma. Não é possível remover uma localidade de um idioma se usuários estiverem associados a ela.</w:t>
      </w:r>
    </w:p>
    <w:p>
      <w:pPr>
        <w:pStyle w:val="BodyText"/>
      </w:pPr>
      <w:r>
        <w:t xml:space="preserve">Embora os administradores possam definir uma localidade padrão para usuários e grupos de usuários, a atribuição de localidade está associada apenas a usuários individuais, e não a grupos. A atribuição de um grupo de usuários a uma localidade atribui a localidade ao conjunto atual de usuários no grupo. Adições futuras de usuários ao grupo não obtém a atribuição de localidade, e as remoções futuras de usuários do grupo não removem a configuração de localidade do usuário. Os usuários com permissões de atualização para suas contas podem definir sua localidade para uma localidade não padrão.</w:t>
      </w:r>
    </w:p>
    <w:p>
      <w:pPr>
        <w:pStyle w:val="BodyText"/>
      </w:pPr>
      <w:r>
        <w:t xml:space="preserve">Uma lista completa de localidades compatíveis com suporte está disponível na página Gerenciar localidades:</w:t>
      </w:r>
    </w:p>
    <w:bookmarkEnd w:id="22"/>
    <w:bookmarkStart w:id="23" w:name="Traduções"/>
    <w:p>
      <w:pPr>
        <w:pStyle w:val="Heading2"/>
      </w:pPr>
      <w:r>
        <w:t xml:space="preserve">Traduções</w:t>
      </w:r>
    </w:p>
    <w:p>
      <w:pPr>
        <w:pStyle w:val="FirstParagraph"/>
      </w:pPr>
      <w:r>
        <w:t xml:space="preserve">Uma tradução diz respeito ao processo de traduzir para uma linguagem natural os objetos criados na</w:t>
      </w:r>
      <w:r>
        <w:t xml:space="preserve"> </w:t>
      </w:r>
      <w:r>
        <w:t xml:space="preserve">Archer</w:t>
      </w:r>
      <w:r>
        <w:t xml:space="preserve">. O idioma usado para criar um objeto é o idioma de projeto. O idioma da instância padrão é especificado durante a instalação. Todos os objetos descendentes do</w:t>
      </w:r>
      <w:r>
        <w:t xml:space="preserve"> </w:t>
      </w:r>
      <w:r>
        <w:t xml:space="preserve">Archer</w:t>
      </w:r>
      <w:r>
        <w:t xml:space="preserve">, como nível de módulo e campos, herdam o idioma padrão do objeto raiz.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Durante a exportação de um idioma, o conteúdo especificado pelo usuário é excluído da tradução, mesmo quando os objetos são traduzidos.</w:t>
      </w:r>
    </w:p>
    <w:p>
      <w:pPr>
        <w:pStyle w:val="TableCaption"/>
      </w:pPr>
      <w:r>
        <w:t xml:space="preserve">A tabela a seguir mostra os objetos-raiz e os objetos de nível 1 e 2 descendentes que herdam o idioma padrão: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objetos-raiz e os objetos de nível 1 e 2 descendentes que herdam o idioma padrão: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Objetos root</w:t>
            </w:r>
          </w:p>
        </w:tc>
        <w:tc>
          <w:tcPr/>
          <w:p>
            <w:pPr>
              <w:pStyle w:val="BodyText"/>
            </w:pPr>
            <w:r>
              <w:t xml:space="preserve">Objetos nível 1</w:t>
            </w:r>
          </w:p>
        </w:tc>
        <w:tc>
          <w:tcPr/>
          <w:p>
            <w:pPr>
              <w:pStyle w:val="BodyText"/>
            </w:pPr>
            <w:r>
              <w:t xml:space="preserve">Objetos nível 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Aplicações</w:t>
            </w:r>
            <w:r>
              <w:br/>
            </w:r>
            <w:r>
              <w:t xml:space="preserve">Questionários</w:t>
            </w:r>
            <w:r>
              <w:br/>
            </w:r>
            <w:r>
              <w:t xml:space="preserve">Subformulários</w:t>
            </w:r>
            <w:r>
              <w:br/>
            </w:r>
            <w:r>
              <w:t xml:space="preserve">Listas de valores globais</w:t>
            </w:r>
            <w:r>
              <w:br/>
            </w:r>
            <w:r>
              <w:t xml:space="preserve">Soluções</w:t>
            </w:r>
            <w:r>
              <w:br/>
            </w:r>
            <w:r>
              <w:t xml:space="preserve">Espaços de trabalho</w:t>
            </w:r>
            <w:r>
              <w:br/>
            </w:r>
            <w:r>
              <w:t xml:space="preserve">Painéis</w:t>
            </w:r>
            <w:r>
              <w:br/>
            </w:r>
            <w:r>
              <w:t xml:space="preserve">Modelos de papel timbrado</w:t>
            </w:r>
            <w:r>
              <w:br/>
            </w:r>
            <w:r>
              <w:t xml:space="preserve">Pastas</w:t>
            </w:r>
          </w:p>
        </w:tc>
        <w:tc>
          <w:tcPr/>
          <w:p>
            <w:pPr>
              <w:pStyle w:val="BodyText"/>
            </w:pPr>
            <w:r>
              <w:t xml:space="preserve">Nível do módulo</w:t>
            </w:r>
            <w:r>
              <w:br/>
            </w:r>
            <w:r>
              <w:t xml:space="preserve">Relatórios</w:t>
            </w:r>
            <w:r>
              <w:br/>
            </w:r>
            <w:r>
              <w:t xml:space="preserve">Listas de valores de questionário</w:t>
            </w:r>
          </w:p>
        </w:tc>
        <w:tc>
          <w:tcPr/>
          <w:p>
            <w:pPr>
              <w:pStyle w:val="BodyText"/>
            </w:pPr>
            <w:r>
              <w:t xml:space="preserve">Campos</w:t>
            </w:r>
            <w:r>
              <w:br/>
            </w:r>
            <w:r>
              <w:t xml:space="preserve">Layout</w:t>
            </w:r>
            <w:r>
              <w:br/>
            </w:r>
            <w:r>
              <w:t xml:space="preserve">Regras do evento</w:t>
            </w:r>
            <w:r>
              <w:br/>
            </w:r>
            <w:r>
              <w:t xml:space="preserve">Ações de evento</w:t>
            </w:r>
            <w:r>
              <w:br/>
            </w:r>
            <w:r>
              <w:t xml:space="preserve">Campanhas de questionário</w:t>
            </w:r>
            <w:r>
              <w:br/>
            </w:r>
            <w:r>
              <w:t xml:space="preserve">Regras de questionário</w:t>
            </w:r>
            <w:r>
              <w:br/>
            </w:r>
            <w:r>
              <w:t xml:space="preserve">Propriedades de filtro de campo</w:t>
            </w:r>
            <w:r>
              <w:br/>
            </w:r>
            <w:r>
              <w:t xml:space="preserve">Notificações</w:t>
            </w:r>
          </w:p>
        </w:tc>
      </w:tr>
    </w:tbl>
    <w:p>
      <w:pPr>
        <w:pStyle w:val="BodyText"/>
      </w:pPr>
      <w:r>
        <w:t xml:space="preserve">Você pode mover as traduções para itens em pacote de 1 instância para outra, o que permite testar uma tradução antes que os usuários tenham acesso. Ao importar as soluções principais do</w:t>
      </w:r>
      <w:r>
        <w:t xml:space="preserve"> </w:t>
      </w:r>
      <w:r>
        <w:t xml:space="preserve">Archer</w:t>
      </w:r>
      <w:r>
        <w:t xml:space="preserve">, você deve instalar uma licença válida na instância de importação antes de instalar a tradução.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Definir um idioma do sistema</dc:title>
  <dc:creator/>
  <cp:keywords/>
  <dcterms:created xsi:type="dcterms:W3CDTF">2025-02-19T13:02:33Z</dcterms:created>
  <dcterms:modified xsi:type="dcterms:W3CDTF">2025-02-19T13:02:33Z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