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Uso de portas</w:t>
      </w:r>
    </w:p>
    <w:bookmarkStart w:id="24" w:name="mc-main-content"/>
    <w:bookmarkStart w:id="23" w:name="uso-de-portas-1"/>
    <w:p>
      <w:pPr>
        <w:pStyle w:val="Heading1"/>
      </w:pPr>
      <w:r>
        <w:t xml:space="preserve">Uso de portas</w:t>
      </w:r>
    </w:p>
    <w:p>
      <w:pPr>
        <w:pStyle w:val="FirstParagraph"/>
      </w:pPr>
      <w:r>
        <w:t xml:space="preserve">Este tópico é aplicável apenas a instalações locais do Archer.</w:t>
      </w:r>
    </w:p>
    <w:p>
      <w:pPr>
        <w:pStyle w:val="BodyText"/>
      </w:pPr>
      <w:r>
        <w:t xml:space="preserve">Configure suas regras de firewall e listas de controle de acesso para expor apenas as portas e os protocolos necessários para o funcionamento do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t xml:space="preserve">O serviço Mecanismo de trabalho e o de configuração podem ser executados simultaneamente em vários servidores. Você deve considerar cada servidor que executam os serviços ao planejar as regras de firewall. Para cada item, você pode omitir a regra se os componentes de origem e destino são executados no mesmo servidor.</w:t>
      </w:r>
    </w:p>
    <w:p>
      <w:pPr>
        <w:pStyle w:val="BodyText"/>
      </w:pPr>
      <w:r>
        <w:t xml:space="preserve">Os serviços do</w:t>
      </w:r>
      <w:r>
        <w:t xml:space="preserve"> </w:t>
      </w:r>
      <w:r>
        <w:t xml:space="preserve">Archer</w:t>
      </w:r>
      <w:r>
        <w:t xml:space="preserve"> </w:t>
      </w:r>
      <w:r>
        <w:t xml:space="preserve">serviços de suporte no servidor da Web usam portas específicas para se comunicarem uns com os outros e com as interfaces e aplicativos externos do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t xml:space="preserve">Você pode modificar as portas usadas para o seguinte:</w:t>
      </w:r>
    </w:p>
    <w:p>
      <w:pPr>
        <w:pStyle w:val="Compact"/>
        <w:numPr>
          <w:ilvl w:val="0"/>
          <w:numId w:val="1001"/>
        </w:numPr>
      </w:pPr>
      <w:r>
        <w:t xml:space="preserve">SQL no SQL Server.</w:t>
      </w:r>
    </w:p>
    <w:p>
      <w:pPr>
        <w:pStyle w:val="Compact"/>
        <w:numPr>
          <w:ilvl w:val="0"/>
          <w:numId w:val="1001"/>
        </w:numPr>
      </w:pPr>
      <w:r>
        <w:t xml:space="preserve">HTTPS no Microsoft IIS.</w:t>
      </w:r>
    </w:p>
    <w:p>
      <w:pPr>
        <w:pStyle w:val="TableCaption"/>
      </w:pPr>
      <w:r>
        <w:t xml:space="preserve">A tabela a seguir lista as portas usadas pelo</w:t>
      </w:r>
      <w:r>
        <w:t xml:space="preserve"> </w:t>
      </w:r>
      <w:r>
        <w:t xml:space="preserve">Archer</w:t>
      </w:r>
      <w:r>
        <w:t xml:space="preserve">. As células marcadas como "Obrigatório" na coluna "Obrigatório ou Opcional" especificam o conjunto mínimo de portas que devem estar abertas para que o aplicativo funcione corretamente. Os colchetes nos itens da coluna Destino indicam os hosts e servidores compatíveis que se comunicam com o</w:t>
      </w:r>
      <w:r>
        <w:t xml:space="preserve"> </w:t>
      </w:r>
      <w:r>
        <w:t xml:space="preserve">Archer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lista as portas usadas pelo Archer. As células marcadas como &quot;Obrigatório&quot; na coluna &quot;Obrigatório ou Opcional&quot; especificam o conjunto mínimo de portas que devem estar abertas para que o aplicativo funcione corretamente. Os colchetes nos itens da coluna Destino indicam os hosts e servidores compatíveis que se comunicam com o Archer.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Objetivo</w:t>
            </w:r>
          </w:p>
        </w:tc>
        <w:tc>
          <w:tcPr/>
          <w:p>
            <w:pPr>
              <w:pStyle w:val="BodyText"/>
            </w:pPr>
            <w:r>
              <w:t xml:space="preserve">Origem</w:t>
            </w:r>
          </w:p>
        </w:tc>
        <w:tc>
          <w:tcPr/>
          <w:p>
            <w:pPr>
              <w:pStyle w:val="BodyText"/>
            </w:pPr>
            <w:r>
              <w:t xml:space="preserve">Destination</w:t>
            </w:r>
          </w:p>
        </w:tc>
        <w:tc>
          <w:tcPr/>
          <w:p>
            <w:pPr>
              <w:pStyle w:val="BodyText"/>
            </w:pPr>
            <w:r>
              <w:t xml:space="preserve">Protocolo</w:t>
            </w:r>
          </w:p>
        </w:tc>
        <w:tc>
          <w:tcPr/>
          <w:p>
            <w:pPr>
              <w:pStyle w:val="BodyText"/>
            </w:pPr>
            <w:r>
              <w:t xml:space="preserve">Porta</w:t>
            </w:r>
            <w:r>
              <w:br/>
            </w:r>
            <w:r>
              <w:t xml:space="preserve">(Padrão)</w:t>
            </w:r>
          </w:p>
        </w:tc>
        <w:tc>
          <w:tcPr/>
          <w:p>
            <w:pPr>
              <w:pStyle w:val="BodyText"/>
            </w:pPr>
            <w:r>
              <w:t xml:space="preserve">Obrigatório ou Facultativo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Web do client</w:t>
            </w:r>
            <w:r>
              <w:br/>
            </w:r>
            <w:r>
              <w:t xml:space="preserve">Conectividade</w:t>
            </w:r>
          </w:p>
        </w:tc>
        <w:tc>
          <w:tcPr/>
          <w:p>
            <w:pPr>
              <w:pStyle w:val="BodyText"/>
            </w:pPr>
            <w:r>
              <w:t xml:space="preserve">UI da Web da plataforma</w:t>
            </w:r>
          </w:p>
        </w:tc>
        <w:tc>
          <w:tcPr/>
          <w:p>
            <w:pPr>
              <w:pStyle w:val="BodyText"/>
            </w:pPr>
            <w:r>
              <w:t xml:space="preserve">Servidor da Web (IIS) ou Balanceador de carga</w:t>
            </w:r>
          </w:p>
        </w:tc>
        <w:tc>
          <w:tcPr/>
          <w:p>
            <w:pPr>
              <w:pStyle w:val="BodyText"/>
            </w:pPr>
            <w:r>
              <w:t xml:space="preserve">HTTP(S)</w:t>
            </w:r>
          </w:p>
        </w:tc>
        <w:tc>
          <w:tcPr/>
          <w:p>
            <w:pPr>
              <w:pStyle w:val="BodyText"/>
            </w:pPr>
            <w:r>
              <w:t xml:space="preserve">80/TCP,</w:t>
            </w:r>
            <w:r>
              <w:br/>
            </w:r>
            <w:r>
              <w:t xml:space="preserve">443/TCP</w:t>
            </w:r>
          </w:p>
        </w:tc>
        <w:tc>
          <w:tcPr/>
          <w:p>
            <w:pPr>
              <w:pStyle w:val="BodyText"/>
            </w:pPr>
            <w:r>
              <w:t xml:space="preserve">Obrigatório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Consulte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Comunicação do servidor da Web</w:t>
              </w:r>
            </w:hyperlink>
            <w:r>
              <w:t xml:space="preserve">. O destino é um Balanceador de carga se a plataforma é implementada com um cluster ou conjunto de servidores da Web. É recomendável contar apenas com HTTPS.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API da Web da plataforma</w:t>
            </w:r>
          </w:p>
        </w:tc>
        <w:tc>
          <w:tcPr/>
          <w:p>
            <w:pPr>
              <w:pStyle w:val="BodyText"/>
            </w:pPr>
            <w:r>
              <w:t xml:space="preserve">Servidor da Web (IIS) ou Balanceador de carga</w:t>
            </w:r>
          </w:p>
        </w:tc>
        <w:tc>
          <w:tcPr/>
          <w:p>
            <w:pPr>
              <w:pStyle w:val="BodyText"/>
            </w:pPr>
            <w:r>
              <w:t xml:space="preserve">HTTP(S)</w:t>
            </w:r>
          </w:p>
        </w:tc>
        <w:tc>
          <w:tcPr/>
          <w:p>
            <w:pPr>
              <w:pStyle w:val="BodyText"/>
            </w:pPr>
            <w:r>
              <w:t xml:space="preserve">80/TCP,</w:t>
            </w:r>
            <w:r>
              <w:br/>
            </w:r>
            <w:r>
              <w:t xml:space="preserve">443/TCP</w:t>
            </w:r>
          </w:p>
        </w:tc>
        <w:tc>
          <w:tcPr/>
          <w:p>
            <w:pPr>
              <w:pStyle w:val="BodyText"/>
            </w:pPr>
            <w:r>
              <w:t xml:space="preserve">Opcional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Consulte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Comunicação do servidor da Web</w:t>
              </w:r>
            </w:hyperlink>
            <w:r>
              <w:t xml:space="preserve">. O destino é um Balanceador de carga se a plataforma é implementada com um cluster ou conjunto de servidores da Web. É recomendável contar apenas com HTTPS. Você pode alterar a porta padrão de seu aplicativo.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Feeds RSS</w:t>
            </w:r>
          </w:p>
        </w:tc>
        <w:tc>
          <w:tcPr/>
          <w:p>
            <w:pPr>
              <w:pStyle w:val="BodyText"/>
            </w:pPr>
            <w:r>
              <w:t xml:space="preserve">Servidor da Web (IIS) ou Balanceador de carga</w:t>
            </w:r>
          </w:p>
        </w:tc>
        <w:tc>
          <w:tcPr/>
          <w:p>
            <w:pPr>
              <w:pStyle w:val="BodyText"/>
            </w:pPr>
            <w:r>
              <w:t xml:space="preserve">[Host remoto]</w:t>
            </w:r>
          </w:p>
        </w:tc>
        <w:tc>
          <w:tcPr/>
          <w:p>
            <w:pPr>
              <w:pStyle w:val="BodyText"/>
            </w:pPr>
            <w:r>
              <w:t xml:space="preserve">HTTP(S)</w:t>
            </w:r>
          </w:p>
        </w:tc>
        <w:tc>
          <w:tcPr/>
          <w:p>
            <w:pPr>
              <w:pStyle w:val="BodyText"/>
            </w:pPr>
            <w:r>
              <w:t xml:space="preserve">80/TCP,</w:t>
            </w:r>
            <w:r>
              <w:br/>
            </w:r>
            <w:r>
              <w:t xml:space="preserve">443/TCP</w:t>
            </w:r>
          </w:p>
        </w:tc>
        <w:tc>
          <w:tcPr/>
          <w:p>
            <w:pPr>
              <w:pStyle w:val="BodyText"/>
            </w:pPr>
            <w:r>
              <w:t xml:space="preserve">Opcional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Feeds de ameaças</w:t>
            </w:r>
          </w:p>
        </w:tc>
        <w:tc>
          <w:tcPr/>
          <w:p>
            <w:pPr>
              <w:pStyle w:val="BodyText"/>
            </w:pPr>
            <w:r>
              <w:t xml:space="preserve">Serviço Mecanismo de trabalho</w:t>
            </w:r>
          </w:p>
        </w:tc>
        <w:tc>
          <w:tcPr/>
          <w:p>
            <w:pPr>
              <w:pStyle w:val="BodyText"/>
            </w:pPr>
            <w:r>
              <w:t xml:space="preserve">[Host remoto]</w:t>
            </w:r>
          </w:p>
        </w:tc>
        <w:tc>
          <w:tcPr/>
          <w:p>
            <w:pPr>
              <w:pStyle w:val="BodyText"/>
            </w:pPr>
            <w:r>
              <w:t xml:space="preserve">HTTPS</w:t>
            </w:r>
          </w:p>
        </w:tc>
        <w:tc>
          <w:tcPr/>
          <w:p>
            <w:pPr>
              <w:pStyle w:val="BodyText"/>
            </w:pPr>
            <w:r>
              <w:t xml:space="preserve">443/TCP</w:t>
            </w:r>
          </w:p>
        </w:tc>
        <w:tc>
          <w:tcPr/>
          <w:p>
            <w:pPr>
              <w:pStyle w:val="BodyText"/>
            </w:pPr>
            <w:r>
              <w:t xml:space="preserve">Opcional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Consulte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Comunicação do servidor da Web</w:t>
              </w:r>
            </w:hyperlink>
            <w:r>
              <w:t xml:space="preserve">. Exigido somente se o Gerenciamento de ameaças estiver sendo usado para obter feed de inteligência do Symantec DeepSight, Verisign iDefense e outros feeds compatíveis com suporte.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Consultas SQL</w:t>
            </w:r>
          </w:p>
        </w:tc>
        <w:tc>
          <w:tcPr/>
          <w:p>
            <w:pPr>
              <w:pStyle w:val="BodyText"/>
            </w:pPr>
            <w:r>
              <w:t xml:space="preserve">Serviço de configuração, Serviço Mecanismo de trabalho, Serviço de enfileiramento, Servidor da Web (IIS)</w:t>
            </w:r>
          </w:p>
        </w:tc>
        <w:tc>
          <w:tcPr/>
          <w:p>
            <w:pPr>
              <w:pStyle w:val="BodyText"/>
            </w:pPr>
            <w:r>
              <w:t xml:space="preserve">[Database Server (SQL Server) executando o banco de dados do</w:t>
            </w:r>
            <w:r>
              <w:t xml:space="preserve"> </w:t>
            </w:r>
            <w:r>
              <w:t xml:space="preserve">Archer</w:t>
            </w:r>
            <w:r>
              <w:t xml:space="preserve">]</w:t>
            </w:r>
          </w:p>
        </w:tc>
        <w:tc>
          <w:tcPr/>
          <w:p>
            <w:pPr>
              <w:pStyle w:val="BodyText"/>
            </w:pPr>
            <w:r>
              <w:t xml:space="preserve">SQL</w:t>
            </w:r>
          </w:p>
        </w:tc>
        <w:tc>
          <w:tcPr/>
          <w:p>
            <w:pPr>
              <w:pStyle w:val="BodyText"/>
            </w:pPr>
            <w:r>
              <w:t xml:space="preserve">1433/TCP</w:t>
            </w:r>
          </w:p>
        </w:tc>
        <w:tc>
          <w:tcPr/>
          <w:p>
            <w:pPr>
              <w:pStyle w:val="BodyText"/>
            </w:pPr>
            <w:r>
              <w:t xml:space="preserve">Obrigatório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Consulte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Comunicação do SQL Server</w:t>
              </w:r>
            </w:hyperlink>
            <w:r>
              <w:t xml:space="preserve">. Você pode alterar a porta padrão de seu aplicativo.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Serviço de sincronização LDAP</w:t>
            </w:r>
          </w:p>
        </w:tc>
        <w:tc>
          <w:tcPr/>
          <w:p>
            <w:pPr>
              <w:pStyle w:val="BodyText"/>
            </w:pPr>
            <w:r>
              <w:t xml:space="preserve">[Database Server (SQL Server) executando o banco de dados do</w:t>
            </w:r>
            <w:r>
              <w:t xml:space="preserve"> </w:t>
            </w:r>
            <w:r>
              <w:t xml:space="preserve">Archer</w:t>
            </w:r>
            <w:r>
              <w:t xml:space="preserve">]</w:t>
            </w:r>
          </w:p>
        </w:tc>
        <w:tc>
          <w:tcPr/>
          <w:p>
            <w:pPr>
              <w:pStyle w:val="BodyText"/>
            </w:pPr>
            <w:r>
              <w:t xml:space="preserve">SQL</w:t>
            </w:r>
          </w:p>
        </w:tc>
        <w:tc>
          <w:tcPr/>
          <w:p>
            <w:pPr>
              <w:pStyle w:val="BodyText"/>
            </w:pPr>
            <w:r>
              <w:t xml:space="preserve">1433/TCP</w:t>
            </w:r>
          </w:p>
        </w:tc>
        <w:tc>
          <w:tcPr/>
          <w:p>
            <w:pPr>
              <w:pStyle w:val="BodyText"/>
            </w:pPr>
            <w:r>
              <w:t xml:space="preserve">Opcional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Consulte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Comunicação do SQL Server</w:t>
              </w:r>
            </w:hyperlink>
            <w:r>
              <w:t xml:space="preserve">. Exigido somente se estiver sendo utilizada sincronização LDAP.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Serviço de configuração, Serviço de sincronização LDAP, Serviço Mecanismo de trabalho, Serviço de enfileiramento, Servidor da Web (IIS)</w:t>
            </w:r>
          </w:p>
        </w:tc>
        <w:tc>
          <w:tcPr/>
          <w:p>
            <w:pPr>
              <w:pStyle w:val="BodyText"/>
            </w:pPr>
            <w:r>
              <w:t xml:space="preserve">[Database Server (SQL Server) executando o banco de dados do</w:t>
            </w:r>
            <w:r>
              <w:t xml:space="preserve"> </w:t>
            </w:r>
            <w:r>
              <w:t xml:space="preserve">Archer</w:t>
            </w:r>
            <w:r>
              <w:t xml:space="preserve">]</w:t>
            </w:r>
          </w:p>
        </w:tc>
        <w:tc>
          <w:tcPr/>
          <w:p>
            <w:pPr>
              <w:pStyle w:val="BodyText"/>
            </w:pPr>
            <w:r>
              <w:t xml:space="preserve">SQL</w:t>
            </w:r>
          </w:p>
        </w:tc>
        <w:tc>
          <w:tcPr/>
          <w:p>
            <w:pPr>
              <w:pStyle w:val="BodyText"/>
            </w:pPr>
            <w:r>
              <w:t xml:space="preserve">1434/UDP</w:t>
            </w:r>
          </w:p>
        </w:tc>
        <w:tc>
          <w:tcPr/>
          <w:p>
            <w:pPr>
              <w:pStyle w:val="BodyText"/>
            </w:pPr>
            <w:r>
              <w:t xml:space="preserve">Opcional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Se estiver usando uma instância nomeada, o Navegador SQL também será necessário.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Compartilhamento de arquivos da Microsoft</w:t>
            </w:r>
          </w:p>
        </w:tc>
        <w:tc>
          <w:tcPr/>
          <w:p>
            <w:pPr>
              <w:pStyle w:val="BodyText"/>
            </w:pPr>
            <w:r>
              <w:t xml:space="preserve">Serviço Mecanismo de trabalho, Servidor da Web (IIS)</w:t>
            </w:r>
          </w:p>
        </w:tc>
        <w:tc>
          <w:tcPr/>
          <w:p>
            <w:pPr>
              <w:pStyle w:val="BodyText"/>
            </w:pPr>
            <w:r>
              <w:t xml:space="preserve">[Servidor de arquivos para repositório de documento]</w:t>
            </w:r>
          </w:p>
        </w:tc>
        <w:tc>
          <w:tcPr/>
          <w:p>
            <w:pPr>
              <w:pStyle w:val="BodyText"/>
            </w:pPr>
            <w:r>
              <w:t xml:space="preserve">SMB/CIFS</w:t>
            </w:r>
          </w:p>
        </w:tc>
        <w:tc>
          <w:tcPr/>
          <w:p>
            <w:pPr>
              <w:pStyle w:val="BodyText"/>
            </w:pPr>
            <w:r>
              <w:t xml:space="preserve">445/TCP</w:t>
            </w:r>
          </w:p>
        </w:tc>
        <w:tc>
          <w:tcPr/>
          <w:p>
            <w:pPr>
              <w:pStyle w:val="BodyText"/>
            </w:pPr>
            <w:r>
              <w:t xml:space="preserve">Opcional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Exigido somente se o repositório de documentos não estiver contido em um único servidor da Web.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bookmarkStart w:id="22" w:name="company_files"/>
            <w:bookmarkEnd w:id="22"/>
            <w:r>
              <w:t xml:space="preserve"> </w:t>
            </w:r>
            <w:r>
              <w:t xml:space="preserve">Servidor Web (IIS)</w:t>
            </w:r>
          </w:p>
        </w:tc>
        <w:tc>
          <w:tcPr/>
          <w:p>
            <w:pPr>
              <w:pStyle w:val="BodyText"/>
            </w:pPr>
            <w:r>
              <w:t xml:space="preserve">[Servidor de arquivos para company_files]</w:t>
            </w:r>
          </w:p>
        </w:tc>
        <w:tc>
          <w:tcPr/>
          <w:p>
            <w:pPr>
              <w:pStyle w:val="BodyText"/>
            </w:pPr>
            <w:r>
              <w:t xml:space="preserve">SMB/CIFS</w:t>
            </w:r>
          </w:p>
        </w:tc>
        <w:tc>
          <w:tcPr/>
          <w:p>
            <w:pPr>
              <w:pStyle w:val="BodyText"/>
            </w:pPr>
            <w:r>
              <w:t xml:space="preserve">445/TCP</w:t>
            </w:r>
          </w:p>
        </w:tc>
        <w:tc>
          <w:tcPr/>
          <w:p>
            <w:pPr>
              <w:pStyle w:val="BodyText"/>
            </w:pPr>
            <w:r>
              <w:t xml:space="preserve">Opcional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Exigido somente se os arquivos de aparência não estiverem contidos em um único servidor da Web.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Serviço de enfileiramento</w:t>
            </w:r>
          </w:p>
        </w:tc>
        <w:tc>
          <w:tcPr/>
          <w:p>
            <w:pPr>
              <w:pStyle w:val="BodyText"/>
            </w:pPr>
            <w:r>
              <w:t xml:space="preserve">[Servidor de arquivos para índices de palavra-chave]</w:t>
            </w:r>
          </w:p>
        </w:tc>
        <w:tc>
          <w:tcPr/>
          <w:p>
            <w:pPr>
              <w:pStyle w:val="BodyText"/>
            </w:pPr>
            <w:r>
              <w:t xml:space="preserve">SMB/CIFS</w:t>
            </w:r>
          </w:p>
        </w:tc>
        <w:tc>
          <w:tcPr/>
          <w:p>
            <w:pPr>
              <w:pStyle w:val="BodyText"/>
            </w:pPr>
            <w:r>
              <w:t xml:space="preserve">445/TCP</w:t>
            </w:r>
          </w:p>
        </w:tc>
        <w:tc>
          <w:tcPr/>
          <w:p>
            <w:pPr>
              <w:pStyle w:val="BodyText"/>
            </w:pPr>
            <w:r>
              <w:t xml:space="preserve">Opcional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Exigido somente se os índices de pesquisa por palavra-chave não estiverem contidos em um único servidor da Web.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Consultas LDAP</w:t>
            </w:r>
          </w:p>
        </w:tc>
        <w:tc>
          <w:tcPr/>
          <w:p>
            <w:pPr>
              <w:pStyle w:val="BodyText"/>
            </w:pPr>
            <w:r>
              <w:t xml:space="preserve">Serviço de sincronização LDAP</w:t>
            </w:r>
          </w:p>
        </w:tc>
        <w:tc>
          <w:tcPr/>
          <w:p>
            <w:pPr>
              <w:pStyle w:val="BodyText"/>
            </w:pPr>
            <w:r>
              <w:t xml:space="preserve">[LDAP Server]</w:t>
            </w:r>
          </w:p>
        </w:tc>
        <w:tc>
          <w:tcPr/>
          <w:p>
            <w:pPr>
              <w:pStyle w:val="BodyText"/>
            </w:pPr>
            <w:r>
              <w:t xml:space="preserve">LDAP(S)</w:t>
            </w:r>
          </w:p>
        </w:tc>
        <w:tc>
          <w:tcPr/>
          <w:p>
            <w:pPr>
              <w:pStyle w:val="BodyText"/>
            </w:pPr>
            <w:r>
              <w:t xml:space="preserve">389/TCP</w:t>
            </w:r>
            <w:r>
              <w:br/>
            </w:r>
            <w:r>
              <w:t xml:space="preserve">(LDAP),</w:t>
            </w:r>
            <w:r>
              <w:br/>
            </w:r>
            <w:r>
              <w:t xml:space="preserve">636/TCP</w:t>
            </w:r>
            <w:r>
              <w:br/>
            </w:r>
            <w:r>
              <w:t xml:space="preserve">(LDAPS via SSL),</w:t>
            </w:r>
            <w:r>
              <w:br/>
            </w:r>
            <w:r>
              <w:t xml:space="preserve">3268/TCP</w:t>
            </w:r>
            <w:r>
              <w:br/>
            </w:r>
            <w:r>
              <w:t xml:space="preserve">(LDAP),</w:t>
            </w:r>
            <w:r>
              <w:br/>
            </w:r>
            <w:r>
              <w:t xml:space="preserve">3269/TCP</w:t>
            </w:r>
            <w:r>
              <w:br/>
            </w:r>
            <w:r>
              <w:t xml:space="preserve">(LDAP para GC via SSL)</w:t>
            </w:r>
          </w:p>
        </w:tc>
        <w:tc>
          <w:tcPr/>
          <w:p>
            <w:pPr>
              <w:pStyle w:val="BodyText"/>
            </w:pPr>
            <w:r>
              <w:t xml:space="preserve">Opcional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Exigido somente se estiver executando a sincronização LDAP. Você pode alterar a porta padrão de seu aplicativo.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Se você tiver mais de 1.000 usuários, é recomendável usar uma conexão de GC (Global Catalog, catálogo global).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Registro de auditoria</w:t>
            </w:r>
          </w:p>
        </w:tc>
        <w:tc>
          <w:tcPr/>
          <w:p>
            <w:pPr>
              <w:pStyle w:val="BodyText"/>
            </w:pPr>
            <w:r>
              <w:t xml:space="preserve">Servidor da Web (IIS)</w:t>
            </w:r>
          </w:p>
        </w:tc>
        <w:tc>
          <w:tcPr/>
          <w:p>
            <w:pPr>
              <w:pStyle w:val="BodyText"/>
            </w:pPr>
            <w:r>
              <w:t xml:space="preserve">[Host remoto]</w:t>
            </w:r>
          </w:p>
        </w:tc>
        <w:tc>
          <w:tcPr/>
          <w:p>
            <w:pPr>
              <w:pStyle w:val="BodyText"/>
            </w:pPr>
            <w:r>
              <w:t xml:space="preserve">TCP/UDP</w:t>
            </w:r>
          </w:p>
        </w:tc>
        <w:tc>
          <w:tcPr/>
          <w:p>
            <w:pPr>
              <w:pStyle w:val="BodyText"/>
            </w:pPr>
            <w:r>
              <w:t xml:space="preserve">Varia</w:t>
            </w:r>
          </w:p>
        </w:tc>
        <w:tc>
          <w:tcPr/>
          <w:p>
            <w:pPr>
              <w:pStyle w:val="BodyText"/>
            </w:pPr>
            <w:r>
              <w:t xml:space="preserve">Opcional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Exigido somente se o registro de auditoria estiver habilitado.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Notificações por e-mail</w:t>
            </w:r>
          </w:p>
        </w:tc>
        <w:tc>
          <w:tcPr/>
          <w:p>
            <w:pPr>
              <w:pStyle w:val="BodyText"/>
            </w:pPr>
            <w:r>
              <w:t xml:space="preserve">Serviço Mecanismo de trabalho</w:t>
            </w:r>
          </w:p>
        </w:tc>
        <w:tc>
          <w:tcPr/>
          <w:p>
            <w:pPr>
              <w:pStyle w:val="BodyText"/>
            </w:pPr>
            <w:r>
              <w:t xml:space="preserve">[SMTP Server]</w:t>
            </w:r>
          </w:p>
        </w:tc>
        <w:tc>
          <w:tcPr/>
          <w:p>
            <w:pPr>
              <w:pStyle w:val="BodyText"/>
            </w:pPr>
            <w:r>
              <w:t xml:space="preserve">SMTP(S)</w:t>
            </w:r>
          </w:p>
        </w:tc>
        <w:tc>
          <w:tcPr/>
          <w:p>
            <w:pPr>
              <w:pStyle w:val="BodyText"/>
            </w:pPr>
            <w:r>
              <w:t xml:space="preserve">25/TCP</w:t>
            </w:r>
            <w:r>
              <w:br/>
            </w:r>
            <w:r>
              <w:t xml:space="preserve">(SMTP),</w:t>
            </w:r>
            <w:r>
              <w:br/>
            </w:r>
            <w:r>
              <w:t xml:space="preserve">465</w:t>
            </w:r>
            <w:r>
              <w:br/>
            </w:r>
            <w:r>
              <w:t xml:space="preserve">(SMTPS)</w:t>
            </w:r>
          </w:p>
        </w:tc>
        <w:tc>
          <w:tcPr/>
          <w:p>
            <w:pPr>
              <w:pStyle w:val="BodyText"/>
            </w:pPr>
            <w:r>
              <w:t xml:space="preserve">Opcional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Exigido somente se notificações por e-mail estiverem sendo utilizadas. Você pode alterar a porta padrão de seu aplicativo.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Monitoramento de e-mails</w:t>
            </w:r>
          </w:p>
        </w:tc>
        <w:tc>
          <w:tcPr/>
          <w:p>
            <w:pPr>
              <w:pStyle w:val="BodyText"/>
            </w:pPr>
            <w:r>
              <w:t xml:space="preserve">Serviço Mecanismo de trabalho</w:t>
            </w:r>
          </w:p>
        </w:tc>
        <w:tc>
          <w:tcPr/>
          <w:p>
            <w:pPr>
              <w:pStyle w:val="BodyText"/>
            </w:pPr>
            <w:r>
              <w:t xml:space="preserve">[POP3 ou IMAP Server]</w:t>
            </w:r>
          </w:p>
        </w:tc>
        <w:tc>
          <w:tcPr/>
          <w:p>
            <w:pPr>
              <w:pStyle w:val="BodyText"/>
            </w:pPr>
            <w:r>
              <w:t xml:space="preserve">POP3(S),</w:t>
            </w:r>
            <w:r>
              <w:br/>
            </w:r>
            <w:r>
              <w:t xml:space="preserve">IMAP(S)</w:t>
            </w:r>
          </w:p>
        </w:tc>
        <w:tc>
          <w:tcPr/>
          <w:p>
            <w:pPr>
              <w:pStyle w:val="BodyText"/>
            </w:pPr>
            <w:r>
              <w:t xml:space="preserve">110/TCP</w:t>
            </w:r>
            <w:r>
              <w:br/>
            </w:r>
            <w:r>
              <w:t xml:space="preserve">(POP3),</w:t>
            </w:r>
            <w:r>
              <w:br/>
            </w:r>
            <w:r>
              <w:t xml:space="preserve">995/TCP</w:t>
            </w:r>
            <w:r>
              <w:br/>
            </w:r>
            <w:r>
              <w:t xml:space="preserve">(POP3S),</w:t>
            </w:r>
            <w:r>
              <w:br/>
            </w:r>
            <w:r>
              <w:t xml:space="preserve">143</w:t>
            </w:r>
            <w:r>
              <w:br/>
            </w:r>
            <w:r>
              <w:t xml:space="preserve">(IMAP),</w:t>
            </w:r>
            <w:r>
              <w:br/>
            </w:r>
            <w:r>
              <w:t xml:space="preserve">993/TCP</w:t>
            </w:r>
            <w:r>
              <w:br/>
            </w:r>
            <w:r>
              <w:t xml:space="preserve">(IMAPS)</w:t>
            </w:r>
          </w:p>
        </w:tc>
        <w:tc>
          <w:tcPr/>
          <w:p>
            <w:pPr>
              <w:pStyle w:val="BodyText"/>
            </w:pPr>
            <w:r>
              <w:t xml:space="preserve">Opcional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Exigido somente se estiver sendo utilizada a funcionalidade Monitoramento de e-mails.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Confirmação de leitura</w:t>
            </w:r>
          </w:p>
        </w:tc>
        <w:tc>
          <w:tcPr/>
          <w:p>
            <w:pPr>
              <w:pStyle w:val="BodyText"/>
            </w:pPr>
            <w:r>
              <w:t xml:space="preserve">Serviço Mecanismo de trabalho</w:t>
            </w:r>
          </w:p>
        </w:tc>
        <w:tc>
          <w:tcPr/>
          <w:p>
            <w:pPr>
              <w:pStyle w:val="BodyText"/>
            </w:pPr>
            <w:r>
              <w:t xml:space="preserve">[POP3 ou IMAP Server]</w:t>
            </w:r>
          </w:p>
        </w:tc>
        <w:tc>
          <w:tcPr/>
          <w:p>
            <w:pPr>
              <w:pStyle w:val="BodyText"/>
            </w:pPr>
            <w:r>
              <w:t xml:space="preserve">POP3,</w:t>
            </w:r>
            <w:r>
              <w:br/>
            </w:r>
            <w:r>
              <w:t xml:space="preserve">IMAP</w:t>
            </w:r>
          </w:p>
        </w:tc>
        <w:tc>
          <w:tcPr/>
          <w:p>
            <w:pPr>
              <w:pStyle w:val="BodyText"/>
            </w:pPr>
            <w:r>
              <w:t xml:space="preserve">110/TCP</w:t>
            </w:r>
            <w:r>
              <w:br/>
            </w:r>
            <w:r>
              <w:t xml:space="preserve">(POP3),</w:t>
            </w:r>
            <w:r>
              <w:br/>
            </w:r>
            <w:r>
              <w:t xml:space="preserve">143</w:t>
            </w:r>
            <w:r>
              <w:br/>
            </w:r>
            <w:r>
              <w:t xml:space="preserve">(IMAP)</w:t>
            </w:r>
          </w:p>
        </w:tc>
        <w:tc>
          <w:tcPr/>
          <w:p>
            <w:pPr>
              <w:pStyle w:val="BodyText"/>
            </w:pPr>
            <w:r>
              <w:t xml:space="preserve">Opcional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Exigido somente se estiver sendo utilizada a funcionalidade Confirmação de leitura.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Dados de configuração</w:t>
            </w:r>
          </w:p>
        </w:tc>
        <w:tc>
          <w:tcPr/>
          <w:p>
            <w:pPr>
              <w:pStyle w:val="BodyText"/>
            </w:pPr>
            <w:r>
              <w:t xml:space="preserve">Todos os clients do serviço de configuração</w:t>
            </w:r>
          </w:p>
        </w:tc>
        <w:tc>
          <w:tcPr/>
          <w:p>
            <w:pPr>
              <w:pStyle w:val="BodyText"/>
            </w:pPr>
            <w:r>
              <w:t xml:space="preserve">API REST do serviço de configuração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13200/TCP</w:t>
            </w:r>
          </w:p>
        </w:tc>
        <w:tc>
          <w:tcPr/>
          <w:p>
            <w:pPr>
              <w:pStyle w:val="BodyText"/>
            </w:pPr>
            <w:r>
              <w:t xml:space="preserve">Obrigatório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Requerido para comunicação entre clients e o serviço de configuração usando REST API.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Todos os clients do serviço de configuração</w:t>
            </w:r>
          </w:p>
        </w:tc>
        <w:tc>
          <w:tcPr/>
          <w:p>
            <w:pPr>
              <w:pStyle w:val="BodyText"/>
            </w:pPr>
            <w:r>
              <w:t xml:space="preserve">Serviço de configuração</w:t>
            </w:r>
          </w:p>
        </w:tc>
        <w:tc>
          <w:tcPr/>
          <w:p>
            <w:pPr>
              <w:pStyle w:val="BodyText"/>
            </w:pPr>
            <w:r>
              <w:t xml:space="preserve">WCF</w:t>
            </w:r>
          </w:p>
        </w:tc>
        <w:tc>
          <w:tcPr/>
          <w:p>
            <w:pPr>
              <w:pStyle w:val="BodyText"/>
            </w:pPr>
            <w:r>
              <w:t xml:space="preserve">13201/TCP</w:t>
            </w:r>
          </w:p>
        </w:tc>
        <w:tc>
          <w:tcPr/>
          <w:p>
            <w:pPr>
              <w:pStyle w:val="BodyText"/>
            </w:pPr>
            <w:r>
              <w:t xml:space="preserve">Obrigatório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Requerido para a comunicação entre clients e o serviço de configuração usando WCF.</w:t>
            </w:r>
          </w:p>
          <w:p>
            <w:pPr>
              <w:pStyle w:val="BodyText"/>
            </w:pPr>
            <w:r>
              <w:t xml:space="preserve">Em uma implementação do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em vários servidores, as portas de recuperação de dados de configuração não precisam ser abertas entre os servidores. Configure cada servidor para que o Web Service se comunique com o serviço de configuração no mesmo servidor.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Serviço de sincronização LDAP</w:t>
            </w:r>
          </w:p>
        </w:tc>
        <w:tc>
          <w:tcPr/>
          <w:p>
            <w:pPr>
              <w:pStyle w:val="BodyText"/>
            </w:pPr>
            <w:r>
              <w:t xml:space="preserve">Serviço de configuração</w:t>
            </w:r>
          </w:p>
        </w:tc>
        <w:tc>
          <w:tcPr/>
          <w:p>
            <w:pPr>
              <w:pStyle w:val="BodyText"/>
            </w:pPr>
            <w:r>
              <w:t xml:space="preserve">WCF</w:t>
            </w:r>
          </w:p>
        </w:tc>
        <w:tc>
          <w:tcPr/>
          <w:p>
            <w:pPr>
              <w:pStyle w:val="BodyText"/>
            </w:pPr>
            <w:r>
              <w:t xml:space="preserve">13201/TCP</w:t>
            </w:r>
          </w:p>
        </w:tc>
        <w:tc>
          <w:tcPr/>
          <w:p>
            <w:pPr>
              <w:pStyle w:val="BodyText"/>
            </w:pPr>
            <w:r>
              <w:t xml:space="preserve">Opcional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Exigido somente se estiver sendo utilizada sincronização LDAP.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Serviço de configuração</w:t>
            </w:r>
          </w:p>
        </w:tc>
        <w:tc>
          <w:tcPr/>
          <w:p>
            <w:pPr>
              <w:pStyle w:val="BodyText"/>
            </w:pPr>
            <w:r>
              <w:t xml:space="preserve">Servidor da Web (IIS)</w:t>
            </w:r>
          </w:p>
        </w:tc>
        <w:tc>
          <w:tcPr/>
          <w:p>
            <w:pPr>
              <w:pStyle w:val="BodyText"/>
            </w:pPr>
            <w:r>
              <w:t xml:space="preserve">WCF</w:t>
            </w:r>
          </w:p>
        </w:tc>
        <w:tc>
          <w:tcPr/>
          <w:p>
            <w:pPr>
              <w:pStyle w:val="BodyText"/>
            </w:pPr>
            <w:r>
              <w:t xml:space="preserve">13202, 13300-13304/TCP</w:t>
            </w:r>
          </w:p>
        </w:tc>
        <w:tc>
          <w:tcPr/>
          <w:p>
            <w:pPr>
              <w:pStyle w:val="BodyText"/>
            </w:pPr>
            <w:r>
              <w:t xml:space="preserve">Obrigatório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Exigido para enviar as atualizações de dados de configuração para os servidores da Web.</w:t>
            </w:r>
          </w:p>
          <w:p>
            <w:pPr>
              <w:pStyle w:val="BodyText"/>
            </w:pPr>
            <w:r>
              <w:t xml:space="preserve">Em uma implementação do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em vários servidores, configure qualquer serviço de configuração para se comunicar com todos os servidores da Web usando as portas de dados de configuração.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Serviço de configuração</w:t>
            </w:r>
          </w:p>
        </w:tc>
        <w:tc>
          <w:tcPr/>
          <w:p>
            <w:pPr>
              <w:pStyle w:val="BodyText"/>
            </w:pPr>
            <w:r>
              <w:t xml:space="preserve">Serviço Mecanismo de trabalho, Serviço de enfileiramento</w:t>
            </w:r>
          </w:p>
        </w:tc>
        <w:tc>
          <w:tcPr/>
          <w:p>
            <w:pPr>
              <w:pStyle w:val="BodyText"/>
            </w:pPr>
            <w:r>
              <w:t xml:space="preserve">WCF</w:t>
            </w:r>
          </w:p>
        </w:tc>
        <w:tc>
          <w:tcPr/>
          <w:p>
            <w:pPr>
              <w:pStyle w:val="BodyText"/>
            </w:pPr>
            <w:r>
              <w:t xml:space="preserve">13305-13350/TCP</w:t>
            </w:r>
          </w:p>
        </w:tc>
        <w:tc>
          <w:tcPr/>
          <w:p>
            <w:pPr>
              <w:pStyle w:val="BodyText"/>
            </w:pPr>
            <w:r>
              <w:t xml:space="preserve">Obrigatório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Exigido para enviar as atualizações de dados de configuração para os serviços</w:t>
            </w:r>
            <w:r>
              <w:t xml:space="preserve"> </w:t>
            </w:r>
            <w:r>
              <w:t xml:space="preserve">Archer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Em uma implementação do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em vários servidores, configure qualquer serviço de configuração para se comunicar com qualquer serviço de destino que é executado em outros servidores usando as portas de dados de configuração.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Serviço de configuração</w:t>
            </w:r>
          </w:p>
        </w:tc>
        <w:tc>
          <w:tcPr/>
          <w:p>
            <w:pPr>
              <w:pStyle w:val="BodyText"/>
            </w:pPr>
            <w:r>
              <w:t xml:space="preserve">Serviço de sincronização LDAP</w:t>
            </w:r>
          </w:p>
        </w:tc>
        <w:tc>
          <w:tcPr/>
          <w:p>
            <w:pPr>
              <w:pStyle w:val="BodyText"/>
            </w:pPr>
            <w:r>
              <w:t xml:space="preserve">WCF</w:t>
            </w:r>
          </w:p>
        </w:tc>
        <w:tc>
          <w:tcPr/>
          <w:p>
            <w:pPr>
              <w:pStyle w:val="BodyText"/>
            </w:pPr>
            <w:r>
              <w:t xml:space="preserve">13305-13350/TCP</w:t>
            </w:r>
          </w:p>
        </w:tc>
        <w:tc>
          <w:tcPr/>
          <w:p>
            <w:pPr>
              <w:pStyle w:val="BodyText"/>
            </w:pPr>
            <w:r>
              <w:t xml:space="preserve">Opcional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Exigido somente se estiver sendo utilizada sincronização LDAP.</w:t>
            </w:r>
          </w:p>
          <w:p>
            <w:pPr>
              <w:pStyle w:val="BodyText"/>
            </w:pPr>
            <w:r>
              <w:t xml:space="preserve">Em uma implementação do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em vários servidores, configure qualquer serviço de configuração para se comunicar com o serviço de sincronização de LDAP em qualquer servidor usando as portas de dados de configuração.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Serviço de configuração</w:t>
            </w:r>
          </w:p>
        </w:tc>
        <w:tc>
          <w:tcPr/>
          <w:p>
            <w:pPr>
              <w:pStyle w:val="BodyText"/>
            </w:pPr>
            <w:r>
              <w:t xml:space="preserve">API de conteúdo</w:t>
            </w:r>
          </w:p>
        </w:tc>
        <w:tc>
          <w:tcPr/>
          <w:p>
            <w:pPr>
              <w:pStyle w:val="BodyText"/>
            </w:pPr>
            <w:r>
              <w:t xml:space="preserve">WCF</w:t>
            </w:r>
          </w:p>
        </w:tc>
        <w:tc>
          <w:tcPr/>
          <w:p>
            <w:pPr>
              <w:pStyle w:val="BodyText"/>
            </w:pPr>
            <w:r>
              <w:t xml:space="preserve">13351-13355/TCP</w:t>
            </w:r>
          </w:p>
        </w:tc>
        <w:tc>
          <w:tcPr/>
          <w:p>
            <w:pPr>
              <w:pStyle w:val="BodyText"/>
            </w:pPr>
            <w:r>
              <w:t xml:space="preserve">Opcional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Necessário somente se estiver usando a API de conteúdo.</w:t>
            </w:r>
          </w:p>
          <w:p>
            <w:pPr>
              <w:pStyle w:val="BodyText"/>
            </w:pPr>
            <w:r>
              <w:t xml:space="preserve">Em uma implementação do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em vários servidores, configure qualquer serviço de configuração para se comunicar com a API de conteúdo em qualquer servidor usando as portas de dados de configuração.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Autenticação do SSO</w:t>
            </w:r>
          </w:p>
        </w:tc>
        <w:tc>
          <w:tcPr/>
          <w:p>
            <w:pPr>
              <w:pStyle w:val="BodyText"/>
            </w:pPr>
            <w:r>
              <w:t xml:space="preserve">Servidor da Web (IIS)</w:t>
            </w:r>
          </w:p>
        </w:tc>
        <w:tc>
          <w:tcPr/>
          <w:p>
            <w:pPr>
              <w:pStyle w:val="BodyText"/>
            </w:pPr>
            <w:r>
              <w:t xml:space="preserve">[Host remoto]</w:t>
            </w:r>
          </w:p>
        </w:tc>
        <w:tc>
          <w:tcPr/>
          <w:p>
            <w:pPr>
              <w:pStyle w:val="BodyText"/>
            </w:pPr>
            <w:r>
              <w:t xml:space="preserve">Varia</w:t>
            </w:r>
          </w:p>
        </w:tc>
        <w:tc>
          <w:tcPr/>
          <w:p>
            <w:pPr>
              <w:pStyle w:val="BodyText"/>
            </w:pPr>
            <w:r>
              <w:t xml:space="preserve">Varia</w:t>
            </w:r>
          </w:p>
        </w:tc>
        <w:tc>
          <w:tcPr/>
          <w:p>
            <w:pPr>
              <w:pStyle w:val="BodyText"/>
            </w:pPr>
            <w:r>
              <w:t xml:space="preserve">Opcional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Exigido somente se o SSO estiver sendo usado. Nesse caso, terá de ser permitido tráfego adicional. Os destinos, as portas e os protocolos variam de acordo com o provedor de SSO e sua implementação específica. Você pode alterar a porta padrão de seu aplicativo.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Publicação de dados</w:t>
            </w:r>
          </w:p>
        </w:tc>
        <w:tc>
          <w:tcPr/>
          <w:p>
            <w:pPr>
              <w:pStyle w:val="BodyText"/>
            </w:pPr>
            <w:r>
              <w:t xml:space="preserve">Serviço Mecanismo de trabalho</w:t>
            </w:r>
          </w:p>
        </w:tc>
        <w:tc>
          <w:tcPr/>
          <w:p>
            <w:pPr>
              <w:pStyle w:val="BodyText"/>
            </w:pPr>
            <w:r>
              <w:t xml:space="preserve">[Host remoto]</w:t>
            </w:r>
          </w:p>
        </w:tc>
        <w:tc>
          <w:tcPr/>
          <w:p>
            <w:pPr>
              <w:pStyle w:val="BodyText"/>
            </w:pPr>
            <w:r>
              <w:t xml:space="preserve">Varia</w:t>
            </w:r>
          </w:p>
        </w:tc>
        <w:tc>
          <w:tcPr/>
          <w:p>
            <w:pPr>
              <w:pStyle w:val="BodyText"/>
            </w:pPr>
            <w:r>
              <w:t xml:space="preserve">Varia</w:t>
            </w:r>
          </w:p>
        </w:tc>
        <w:tc>
          <w:tcPr/>
          <w:p>
            <w:pPr>
              <w:pStyle w:val="BodyText"/>
            </w:pPr>
            <w:r>
              <w:t xml:space="preserve">Opcional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Exigido somente se o recurso Publicação de dados estiver sendo usado, em que os dados podem ser extraídos e gravados em um sistema de base de dados relacional. Os destinos, as portas e os protocolos variam de acordo com o sistema de destino. Você pode alterar a porta padrão de seu aplicativo.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Conectividade Web do client</w:t>
            </w:r>
          </w:p>
        </w:tc>
        <w:tc>
          <w:tcPr/>
          <w:p>
            <w:pPr>
              <w:pStyle w:val="BodyText"/>
            </w:pPr>
            <w:r>
              <w:t xml:space="preserve">Servidor da Web</w:t>
            </w:r>
          </w:p>
        </w:tc>
        <w:tc>
          <w:tcPr/>
          <w:p>
            <w:pPr>
              <w:pStyle w:val="BodyText"/>
            </w:pPr>
            <w:r>
              <w:t xml:space="preserve">URL REST de workflow avançado ou através de um balanceador de carga</w:t>
            </w:r>
          </w:p>
        </w:tc>
        <w:tc>
          <w:tcPr/>
          <w:p>
            <w:pPr>
              <w:pStyle w:val="BodyText"/>
            </w:pPr>
            <w:r>
              <w:t xml:space="preserve">HTTP(S)</w:t>
            </w:r>
          </w:p>
        </w:tc>
        <w:tc>
          <w:tcPr/>
          <w:p>
            <w:pPr>
              <w:pStyle w:val="BodyText"/>
            </w:pPr>
            <w:r>
              <w:t xml:space="preserve">Qualquer porta</w:t>
            </w:r>
            <w:r>
              <w:br/>
            </w:r>
            <w:r>
              <w:t xml:space="preserve">não utilizada (padrões: 8000 para HTTP e 8443 para HTTPS) </w:t>
            </w:r>
          </w:p>
        </w:tc>
        <w:tc>
          <w:tcPr/>
          <w:p>
            <w:pPr>
              <w:pStyle w:val="BodyText"/>
            </w:pPr>
            <w:r>
              <w:t xml:space="preserve">Obrigatório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Só será necessário se você usar o recurso Workflow avançado.</w:t>
            </w:r>
          </w:p>
          <w:p>
            <w:pPr>
              <w:pStyle w:val="BodyText"/>
            </w:pPr>
            <w:r>
              <w:t xml:space="preserve">Você pode alterar a porta padrão de seu aplicativo. Certifique-se de que o número da porta de suporte esteja disponível para uso.</w:t>
            </w:r>
          </w:p>
          <w:p>
            <w:pPr>
              <w:pStyle w:val="BodyText"/>
            </w:pPr>
            <w:r>
              <w:t xml:space="preserve">O servidor da Web comunica-se com a página de solução de problemas de trabalho de workflow avançado quando os registros são feitos.</w:t>
            </w:r>
          </w:p>
          <w:p>
            <w:pPr>
              <w:pStyle w:val="BodyText"/>
            </w:pPr>
            <w:r>
              <w:t xml:space="preserve">O serviço Workflow avançado requer uma porta dedicada nos servidores configurados para se comunicar com</w:t>
            </w:r>
            <w:r>
              <w:t xml:space="preserve"> </w:t>
            </w:r>
            <w:r>
              <w:t xml:space="preserve">Archer</w:t>
            </w:r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Conectividade Web do client</w:t>
            </w:r>
          </w:p>
        </w:tc>
        <w:tc>
          <w:tcPr/>
          <w:p>
            <w:pPr>
              <w:pStyle w:val="BodyText"/>
            </w:pPr>
            <w:r>
              <w:t xml:space="preserve">Servidor de serviços</w:t>
            </w:r>
          </w:p>
        </w:tc>
        <w:tc>
          <w:tcPr/>
          <w:p>
            <w:pPr>
              <w:pStyle w:val="BodyText"/>
            </w:pPr>
            <w:r>
              <w:t xml:space="preserve">URL REST de workflow avançado ou através de um balanceador de carga</w:t>
            </w:r>
          </w:p>
        </w:tc>
        <w:tc>
          <w:tcPr/>
          <w:p>
            <w:pPr>
              <w:pStyle w:val="BodyText"/>
            </w:pPr>
            <w:r>
              <w:t xml:space="preserve">HTTP(S)</w:t>
            </w:r>
          </w:p>
        </w:tc>
        <w:tc>
          <w:tcPr/>
          <w:p>
            <w:pPr>
              <w:pStyle w:val="BodyText"/>
            </w:pPr>
            <w:r>
              <w:t xml:space="preserve">Qualquer porta</w:t>
            </w:r>
            <w:r>
              <w:br/>
            </w:r>
            <w:r>
              <w:t xml:space="preserve">não utilizada (padrões: 8000 para HTTP e 8443 para HTTPS) </w:t>
            </w:r>
          </w:p>
        </w:tc>
        <w:tc>
          <w:tcPr/>
          <w:p>
            <w:pPr>
              <w:pStyle w:val="BodyText"/>
            </w:pPr>
            <w:r>
              <w:t xml:space="preserve">Obrigatório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Só será necessário se você usar o recurso Workflow avançado.</w:t>
            </w:r>
          </w:p>
          <w:p>
            <w:pPr>
              <w:pStyle w:val="BodyText"/>
            </w:pPr>
            <w:r>
              <w:t xml:space="preserve">Você pode alterar a porta padrão de seu aplicativo. Certifique-se de que o número da porta de suporte esteja disponível para uso.</w:t>
            </w:r>
          </w:p>
          <w:p>
            <w:pPr>
              <w:pStyle w:val="BodyText"/>
            </w:pPr>
            <w:r>
              <w:t xml:space="preserve">O servidor de serviços comunica-se quando um novo registro é registrado em um workflow avançado.</w:t>
            </w:r>
          </w:p>
          <w:p>
            <w:pPr>
              <w:pStyle w:val="BodyText"/>
            </w:pPr>
            <w:r>
              <w:t xml:space="preserve">O serviço Workflow avançado requer uma porta dedicada nos servidores configurados para se comunicar com</w:t>
            </w:r>
            <w:r>
              <w:t xml:space="preserve"> </w:t>
            </w:r>
            <w:r>
              <w:t xml:space="preserve">Archer</w:t>
            </w:r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Outros feeds de dados</w:t>
            </w:r>
          </w:p>
        </w:tc>
        <w:tc>
          <w:tcPr/>
          <w:p>
            <w:pPr>
              <w:pStyle w:val="BodyText"/>
            </w:pPr>
            <w:r>
              <w:t xml:space="preserve">Serviço Mecanismo de trabalho</w:t>
            </w:r>
          </w:p>
        </w:tc>
        <w:tc>
          <w:tcPr/>
          <w:p>
            <w:pPr>
              <w:pStyle w:val="BodyText"/>
            </w:pPr>
            <w:r>
              <w:t xml:space="preserve">[Host(s) remoto(s)]</w:t>
            </w:r>
          </w:p>
        </w:tc>
        <w:tc>
          <w:tcPr/>
          <w:p>
            <w:pPr>
              <w:pStyle w:val="BodyText"/>
            </w:pPr>
            <w:r>
              <w:t xml:space="preserve">Varia</w:t>
            </w:r>
          </w:p>
        </w:tc>
        <w:tc>
          <w:tcPr/>
          <w:p>
            <w:pPr>
              <w:pStyle w:val="BodyText"/>
            </w:pPr>
            <w:r>
              <w:t xml:space="preserve">Varia</w:t>
            </w:r>
          </w:p>
        </w:tc>
        <w:tc>
          <w:tcPr/>
          <w:p>
            <w:pPr>
              <w:pStyle w:val="BodyText"/>
            </w:pPr>
            <w:r>
              <w:t xml:space="preserve">Opcional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Exigido somente se estiver usando 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para enviar dados de outros sistemas usando protocolos de transferência, por exemplo, FTP, SMB e SQL. Os destinos, as portas e os protocolos variam de acordo com sua implementação. Você pode alterar a porta padrão de seu aplicativo.</w:t>
            </w:r>
          </w:p>
        </w:tc>
      </w:tr>
    </w:tbl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securityconfiguration/sql_server_communication.htm" TargetMode="External" /><Relationship Type="http://schemas.openxmlformats.org/officeDocument/2006/relationships/hyperlink" Id="rId20" Target="ac_server_communica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ecurityconfiguration/sql_server_communication.htm" TargetMode="External" /><Relationship Type="http://schemas.openxmlformats.org/officeDocument/2006/relationships/hyperlink" Id="rId20" Target="ac_server_communica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Uso de portas</dc:title>
  <dc:creator/>
  <cp:keywords/>
  <dcterms:created xsi:type="dcterms:W3CDTF">2025-02-19T13:03:11Z</dcterms:created>
  <dcterms:modified xsi:type="dcterms:W3CDTF">2025-02-19T13:03:11Z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