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Endereço IP</w:t>
      </w:r>
    </w:p>
    <w:bookmarkStart w:id="25" w:name="mc-main-content"/>
    <w:bookmarkStart w:id="24" w:name="adicionando-campos-endereço-ip-1"/>
    <w:p>
      <w:pPr>
        <w:pStyle w:val="Heading1"/>
      </w:pPr>
      <w:r>
        <w:t xml:space="preserve">Adicionando campos Endereço IP</w:t>
      </w:r>
    </w:p>
    <w:p>
      <w:pPr>
        <w:pStyle w:val="FirstParagraph"/>
      </w:pPr>
      <w:r>
        <w:t xml:space="preserve">O tipo de campo Endereço IP habilita usuários a armazenar um endereço IP em formato IPv4 ou IPv6. Você pode especificar o formato quando cria o campo e não pode alterá-lo posteriormente. O formato IPv4 consiste em 4 subcampos vizinhos que devem conter um valor numérico entre 0 e 255. O formato IPv6 consiste em oito subcampos vizinhos que são exibidos ao usuário usando a sintaxe completa ou abreviada.</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o tipo de endereço IP e clique em OK.</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texto de ajuda, use o Editor de rich text para formatar o texto conforme necessário.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Endereço IP</dc:title>
  <dc:creator/>
  <cp:keywords/>
  <dcterms:created xsi:type="dcterms:W3CDTF">2025-02-19T12:53:31Z</dcterms:created>
  <dcterms:modified xsi:type="dcterms:W3CDTF">2025-02-19T12:53:31Z</dcterms:modified>
</cp:coreProperties>
</file>

<file path=docProps/custom.xml><?xml version="1.0" encoding="utf-8"?>
<Properties xmlns="http://schemas.openxmlformats.org/officeDocument/2006/custom-properties" xmlns:vt="http://schemas.openxmlformats.org/officeDocument/2006/docPropsVTypes"/>
</file>