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Texto</w:t>
      </w:r>
    </w:p>
    <w:bookmarkStart w:id="31" w:name="mc-main-content"/>
    <w:bookmarkStart w:id="30" w:name="adicionando-campos-de-texto"/>
    <w:p>
      <w:pPr>
        <w:pStyle w:val="Heading1"/>
      </w:pPr>
      <w:r>
        <w:t xml:space="preserve">Adicionando campos de texto</w:t>
      </w:r>
    </w:p>
    <w:p>
      <w:pPr>
        <w:pStyle w:val="FirstParagraph"/>
      </w:pPr>
      <w:r>
        <w:t xml:space="preserve">Os campos Texto permitem que os usuários digitem texto sem formatação. Os campos podem ser</w:t>
      </w:r>
      <w:r>
        <w:t xml:space="preserve"> </w:t>
      </w:r>
      <w:hyperlink r:id="rId20">
        <w:r>
          <w:rPr>
            <w:rStyle w:val="Hyperlink"/>
          </w:rPr>
          <w:t xml:space="preserve">calculados</w:t>
        </w:r>
      </w:hyperlink>
      <w:r>
        <w:t xml:space="preserve"> </w:t>
      </w:r>
      <w:r>
        <w:t xml:space="preserve">e</w:t>
      </w:r>
      <w:r>
        <w:t xml:space="preserve"> </w:t>
      </w:r>
      <w:hyperlink r:id="rId21">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2"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3"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de texto de linha única</w:t>
            </w:r>
          </w:p>
        </w:tc>
        <w:tc>
          <w:tcPr/>
          <w:p>
            <w:pPr>
              <w:pStyle w:val="BodyText"/>
            </w:pPr>
            <w:r>
              <w:t xml:space="preserve">Campo de texto – exibição de linha única</w:t>
            </w:r>
          </w:p>
        </w:tc>
      </w:tr>
      <w:tr>
        <w:tc>
          <w:tcPr/>
          <w:p>
            <w:pPr>
              <w:pStyle w:val="BodyText"/>
            </w:pPr>
            <w:r>
              <w:t xml:space="preserve">Área de rich text de várias linhas</w:t>
            </w:r>
          </w:p>
        </w:tc>
        <w:tc>
          <w:tcPr/>
          <w:p>
            <w:pPr>
              <w:pStyle w:val="BodyText"/>
            </w:pPr>
            <w:r>
              <w:t xml:space="preserve">Esta opção inclui o editor de rich text que permite aos usuários formatar o conteúdo e cole blocos de texto com imagens incorporadas.</w:t>
            </w:r>
          </w:p>
          <w:p>
            <w:pPr>
              <w:pStyle w:val="BodyText"/>
            </w:pPr>
            <w:r>
              <w:t xml:space="preserve">Campo de área de texto – exibição de várias linhas</w:t>
            </w:r>
          </w:p>
        </w:tc>
      </w:tr>
    </w:tbl>
    <w:bookmarkEnd w:id="23"/>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4">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5">
              <w:r>
                <w:rPr>
                  <w:rStyle w:val="Hyperlink"/>
                </w:rPr>
                <w:t xml:space="preserve">editável</w:t>
              </w:r>
            </w:hyperlink>
            <w:r>
              <w:t xml:space="preserve"> </w:t>
            </w:r>
            <w:r>
              <w:t xml:space="preserve">nos resultados da pesquisa e em relatórios.</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Criptografar dados em repouso no campo</w:t>
            </w:r>
          </w:p>
        </w:tc>
        <w:tc>
          <w:tcPr/>
          <w:p>
            <w:pPr>
              <w:pStyle w:val="BodyText"/>
            </w:pPr>
            <w:r>
              <w:t xml:space="preserve">Consulte</w:t>
            </w:r>
            <w:r>
              <w:t xml:space="preserve"> </w:t>
            </w:r>
            <w:hyperlink r:id="rId21">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caracteres</w:t>
            </w:r>
          </w:p>
        </w:tc>
        <w:tc>
          <w:tcPr/>
          <w:p>
            <w:pPr>
              <w:pStyle w:val="BodyText"/>
            </w:pPr>
            <w:r>
              <w:t xml:space="preserve">Restringe o número de caracteres que um usuário pode digitar em um campo de texto.</w:t>
            </w:r>
          </w:p>
          <w:p>
            <w:pPr>
              <w:pStyle w:val="BodyText"/>
            </w:pPr>
            <w:r>
              <w:t xml:space="preserve">Se você utilizar formatação rich text em uma área de texto, o Archer contará as tags de formação HTML incorporadas ao texto como caracteres, fazendo com que uma mensagem de advertência informe que o texto digitado no campo excede o número máximo de caracteres. Se isso ocorrer, defina para este campo um valor maior que o número de caracteres a serem digitados no campo.</w:t>
            </w:r>
          </w:p>
        </w:tc>
      </w:tr>
      <w:tr>
        <w:tc>
          <w:tcPr/>
          <w:p>
            <w:pPr>
              <w:pStyle w:val="BodyText"/>
            </w:pPr>
            <w:r>
              <w:t xml:space="preserve">Máscara de entrada</w:t>
            </w:r>
          </w:p>
        </w:tc>
        <w:tc>
          <w:tcPr/>
          <w:p>
            <w:pPr>
              <w:pStyle w:val="BodyText"/>
            </w:pPr>
            <w:r>
              <w:t xml:space="preserve">Especifica o formato de texto que um usuário deve digitar para um campo de área de texto.</w:t>
            </w:r>
          </w:p>
          <w:p>
            <w:pPr>
              <w:pStyle w:val="BodyText"/>
            </w:pPr>
            <w:r>
              <w:t xml:space="preserve">Esta opção estará disponível apenas se você tiver selecionado a área de texto de linha única como a opção de exibição na tarefa 2.</w:t>
            </w:r>
          </w:p>
          <w:p>
            <w:pPr>
              <w:pStyle w:val="BodyText"/>
            </w:pPr>
            <w:r>
              <w:t xml:space="preserve">Você pode usar uma das seguintes máscaras:</w:t>
            </w:r>
          </w:p>
          <w:p>
            <w:pPr>
              <w:pStyle w:val="Compact"/>
              <w:numPr>
                <w:ilvl w:val="0"/>
                <w:numId w:val="1005"/>
              </w:numPr>
            </w:pPr>
            <w:r>
              <w:t xml:space="preserve">SSN - Formato = ###-##-####. A máscara será configurada para que todo SSN seja confinado em um campo.</w:t>
            </w:r>
          </w:p>
          <w:p>
            <w:pPr>
              <w:pStyle w:val="Compact"/>
              <w:numPr>
                <w:ilvl w:val="0"/>
                <w:numId w:val="1005"/>
              </w:numPr>
            </w:pPr>
            <w:r>
              <w:t xml:space="preserve">Telefone - Formato = ###-###-####. A máscara será configurada para que todo número de telefone seja confinado em um campo.</w:t>
            </w:r>
          </w:p>
          <w:p>
            <w:pPr>
              <w:pStyle w:val="Compact"/>
              <w:numPr>
                <w:ilvl w:val="0"/>
                <w:numId w:val="1005"/>
              </w:numPr>
            </w:pPr>
            <w:r>
              <w:t xml:space="preserve">CEP - Formato = #####.</w:t>
            </w:r>
          </w:p>
          <w:p>
            <w:pPr>
              <w:pStyle w:val="Compact"/>
              <w:numPr>
                <w:ilvl w:val="0"/>
                <w:numId w:val="1005"/>
              </w:numPr>
            </w:pPr>
            <w:r>
              <w:t xml:space="preserve">CEP+4 - Formato = #####-####.</w:t>
            </w:r>
          </w:p>
          <w:p>
            <w:pPr>
              <w:pStyle w:val="Compact"/>
              <w:numPr>
                <w:ilvl w:val="0"/>
                <w:numId w:val="1005"/>
              </w:numPr>
            </w:pPr>
            <w:r>
              <w:t xml:space="preserve">Endereço IP v4 - Formato = ###.###.###.###.</w:t>
            </w:r>
          </w:p>
          <w:p>
            <w:pPr>
              <w:pStyle w:val="Compact"/>
              <w:numPr>
                <w:ilvl w:val="0"/>
                <w:numId w:val="1005"/>
              </w:numPr>
            </w:pPr>
            <w:r>
              <w:t xml:space="preserve">Endereço IP v6 completo - Formato = ####.####.####.####.####.####.####.####.</w:t>
            </w:r>
          </w:p>
          <w:p>
            <w:pPr>
              <w:pStyle w:val="Compact"/>
              <w:numPr>
                <w:ilvl w:val="0"/>
                <w:numId w:val="1005"/>
              </w:numPr>
            </w:pPr>
            <w:r>
              <w:t xml:space="preserve">Endereço de e-mail - A máscara será configurada para exigir o símbolo arroba @.</w:t>
            </w:r>
          </w:p>
        </w:tc>
      </w:tr>
      <w:tr>
        <w:tc>
          <w:tcPr/>
          <w:p>
            <w:pPr>
              <w:pStyle w:val="FirstParagraph"/>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r>
        <w:tc>
          <w:tcPr/>
          <w:p>
            <w:pPr>
              <w:pStyle w:val="BodyText"/>
            </w:pPr>
            <w:r>
              <w:t xml:space="preserve">Texto padrão</w:t>
            </w:r>
          </w:p>
        </w:tc>
        <w:tc>
          <w:tcPr/>
          <w:p>
            <w:pPr>
              <w:pStyle w:val="BodyText"/>
            </w:pPr>
            <w:r>
              <w:t xml:space="preserve">Especifica o texto padrão de um campo de texto.</w:t>
            </w:r>
          </w:p>
          <w:p>
            <w:pPr>
              <w:pStyle w:val="BodyText"/>
            </w:pPr>
            <w:r>
              <w:t xml:space="preserve">Se você quiser que o texto padrão seja removido depois que um usuário selecionar o campo Texto no modo de edição, selecione Remover texto padrão em foco. O texto não é salvo com o registro, portanto, recomendamos essa opção apenas para fins de instrução e informação. Se você desejar que o texto padrão seja tratado como entrada padrão do campo Texto, não selecione Remover texto padrão em foco.</w:t>
            </w:r>
          </w:p>
        </w:tc>
      </w:tr>
    </w:tbl>
    <w:bookmarkEnd w:id="27"/>
    <w:bookmarkStart w:id="28"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8"/>
    <w:bookmarkStart w:id="29"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Texto</dc:title>
  <dc:creator/>
  <cp:keywords/>
  <dcterms:created xsi:type="dcterms:W3CDTF">2025-02-19T12:53:47Z</dcterms:created>
  <dcterms:modified xsi:type="dcterms:W3CDTF">2025-02-19T12:53:47Z</dcterms:modified>
</cp:coreProperties>
</file>

<file path=docProps/custom.xml><?xml version="1.0" encoding="utf-8"?>
<Properties xmlns="http://schemas.openxmlformats.org/officeDocument/2006/custom-properties" xmlns:vt="http://schemas.openxmlformats.org/officeDocument/2006/docPropsVTypes"/>
</file>