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Operadores de comparação</w:t>
      </w:r>
    </w:p>
    <w:bookmarkStart w:id="27" w:name="mc-main-content"/>
    <w:bookmarkStart w:id="26" w:name="operadores-de-comparação-1"/>
    <w:p>
      <w:pPr>
        <w:pStyle w:val="Heading1"/>
      </w:pPr>
      <w:r>
        <w:t xml:space="preserve">Operadores de comparação</w:t>
      </w:r>
    </w:p>
    <w:p>
      <w:pPr>
        <w:pStyle w:val="TableCaption"/>
      </w:pPr>
      <w:r>
        <w:t xml:space="preserve">A tabela a seguir fornece a descrição dos operadores de comparação oferecidos pelo gerador de fórmulas.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a descrição dos operadores de comparação oferecidos pelo gerador de fórmul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7"/>
            <w:bookmarkEnd w:id="20"/>
            <w:r>
              <w:t xml:space="preserve">=</w:t>
            </w:r>
          </w:p>
        </w:tc>
        <w:tc>
          <w:tcPr/>
          <w:p>
            <w:pPr>
              <w:pStyle w:val="BodyText"/>
            </w:pPr>
            <w:r>
              <w:t xml:space="preserve">Igual a (3 = 3)</w:t>
            </w:r>
          </w:p>
        </w:tc>
      </w:tr>
      <w:tr>
        <w:tc>
          <w:tcPr/>
          <w:p>
            <w:pPr>
              <w:pStyle w:val="BodyText"/>
            </w:pPr>
            <w:bookmarkStart w:id="21" w:name="kanchor8"/>
            <w:bookmarkEnd w:id="21"/>
            <w:r>
              <w:t xml:space="preserve">&gt;</w:t>
            </w:r>
          </w:p>
        </w:tc>
        <w:tc>
          <w:tcPr/>
          <w:p>
            <w:pPr>
              <w:pStyle w:val="BodyText"/>
            </w:pPr>
            <w:r>
              <w:t xml:space="preserve">Maior que (3 &gt; 2)</w:t>
            </w:r>
          </w:p>
        </w:tc>
      </w:tr>
      <w:tr>
        <w:tc>
          <w:tcPr/>
          <w:p>
            <w:pPr>
              <w:pStyle w:val="BodyText"/>
            </w:pPr>
            <w:bookmarkStart w:id="22" w:name="kanchor9"/>
            <w:bookmarkEnd w:id="22"/>
            <w:r>
              <w:t xml:space="preserve">&gt;=</w:t>
            </w:r>
          </w:p>
        </w:tc>
        <w:tc>
          <w:tcPr/>
          <w:p>
            <w:pPr>
              <w:pStyle w:val="BodyText"/>
            </w:pPr>
            <w:r>
              <w:t xml:space="preserve">Maior ou igual a (3 &gt;= 3)</w:t>
            </w:r>
          </w:p>
        </w:tc>
      </w:tr>
      <w:tr>
        <w:tc>
          <w:tcPr/>
          <w:p>
            <w:pPr>
              <w:pStyle w:val="BodyText"/>
            </w:pPr>
            <w:bookmarkStart w:id="23" w:name="kanchor10"/>
            <w:bookmarkEnd w:id="23"/>
            <w:r>
              <w:t xml:space="preserve">&lt;</w:t>
            </w:r>
          </w:p>
        </w:tc>
        <w:tc>
          <w:tcPr/>
          <w:p>
            <w:pPr>
              <w:pStyle w:val="BodyText"/>
            </w:pPr>
            <w:r>
              <w:t xml:space="preserve">Menor que (2 &lt; 3)</w:t>
            </w:r>
          </w:p>
        </w:tc>
      </w:tr>
      <w:tr>
        <w:tc>
          <w:tcPr/>
          <w:p>
            <w:pPr>
              <w:pStyle w:val="BodyText"/>
            </w:pPr>
            <w:bookmarkStart w:id="24" w:name="kanchor11"/>
            <w:bookmarkEnd w:id="24"/>
            <w:r>
              <w:t xml:space="preserve">&lt;=</w:t>
            </w:r>
          </w:p>
        </w:tc>
        <w:tc>
          <w:tcPr/>
          <w:p>
            <w:pPr>
              <w:pStyle w:val="BodyText"/>
            </w:pPr>
            <w:r>
              <w:t xml:space="preserve">Menor ou igual a (3 &lt;= 3)</w:t>
            </w:r>
          </w:p>
        </w:tc>
      </w:tr>
      <w:tr>
        <w:tc>
          <w:tcPr/>
          <w:p>
            <w:pPr>
              <w:pStyle w:val="BodyText"/>
            </w:pPr>
            <w:bookmarkStart w:id="25" w:name="kanchor12"/>
            <w:bookmarkEnd w:id="25"/>
            <w:r>
              <w:t xml:space="preserve">&lt;&gt;</w:t>
            </w:r>
          </w:p>
        </w:tc>
        <w:tc>
          <w:tcPr/>
          <w:p>
            <w:pPr>
              <w:pStyle w:val="BodyText"/>
            </w:pPr>
            <w:r>
              <w:t xml:space="preserve">Diferente de (3 &lt;&gt; 2)</w:t>
            </w:r>
          </w:p>
        </w:tc>
      </w:tr>
    </w:tbl>
    <w:p>
      <w:pPr>
        <w:pStyle w:val="BodyText"/>
      </w:pP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de comparação</dc:title>
  <dc:creator/>
  <cp:keywords/>
  <dcterms:created xsi:type="dcterms:W3CDTF">2025-02-19T12:54:25Z</dcterms:created>
  <dcterms:modified xsi:type="dcterms:W3CDTF">2025-02-19T12:54:25Z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