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Solucionando problemas de cálculos</w:t>
      </w:r>
    </w:p>
    <w:bookmarkStart w:id="37" w:name="mc-main-content"/>
    <w:bookmarkStart w:id="36" w:name="Xa05089020d7f65ee5ac3836e6f2f9a952554cb8"/>
    <w:p>
      <w:pPr>
        <w:pStyle w:val="Heading1"/>
      </w:pPr>
      <w:bookmarkStart w:id="20" w:name="aanchor176"/>
      <w:bookmarkEnd w:id="20"/>
      <w:r>
        <w:t xml:space="preserve"> </w:t>
      </w:r>
      <w:r>
        <w:t xml:space="preserve">Dicas para solução de problemas de cálculos</w:t>
      </w:r>
    </w:p>
    <w:p>
      <w:pPr>
        <w:pStyle w:val="FirstParagraph"/>
      </w:pPr>
      <w:r>
        <w:t xml:space="preserve">Ao trabalhar com fórmulas, você pode identificar mensagens de erro.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rroscomuns">
        <w:r>
          <w:rPr>
            <w:rStyle w:val="Hyperlink"/>
          </w:rPr>
          <w:t xml:space="preserve">Erros comuns</w:t>
        </w:r>
      </w:hyperlink>
    </w:p>
    <w:p>
      <w:pPr>
        <w:pStyle w:val="Compact"/>
        <w:numPr>
          <w:ilvl w:val="0"/>
          <w:numId w:val="1001"/>
        </w:numPr>
      </w:pPr>
      <w:hyperlink w:anchor="Mensagensdeerrocomuns">
        <w:r>
          <w:rPr>
            <w:rStyle w:val="Hyperlink"/>
          </w:rPr>
          <w:t xml:space="preserve">Mensagens de erro comuns</w:t>
        </w:r>
      </w:hyperlink>
    </w:p>
    <w:p>
      <w:pPr>
        <w:pStyle w:val="Compact"/>
        <w:numPr>
          <w:ilvl w:val="1"/>
          <w:numId w:val="1002"/>
        </w:numPr>
      </w:pPr>
      <w:hyperlink w:anchor="Valorinv%C3%A1lido">
        <w:r>
          <w:rPr>
            <w:rStyle w:val="Hyperlink"/>
          </w:rPr>
          <w:t xml:space="preserve">Valor inválido</w:t>
        </w:r>
      </w:hyperlink>
    </w:p>
    <w:p>
      <w:pPr>
        <w:pStyle w:val="Compact"/>
        <w:numPr>
          <w:ilvl w:val="1"/>
          <w:numId w:val="1002"/>
        </w:numPr>
      </w:pPr>
      <w:hyperlink w:anchor="M%C3%BAltiplosvalores">
        <w:r>
          <w:rPr>
            <w:rStyle w:val="Hyperlink"/>
          </w:rPr>
          <w:t xml:space="preserve">Múltiplos valores</w:t>
        </w:r>
      </w:hyperlink>
    </w:p>
    <w:p>
      <w:pPr>
        <w:pStyle w:val="Compact"/>
        <w:numPr>
          <w:ilvl w:val="1"/>
          <w:numId w:val="1002"/>
        </w:numPr>
      </w:pPr>
      <w:hyperlink w:anchor="Dividirporzero">
        <w:r>
          <w:rPr>
            <w:rStyle w:val="Hyperlink"/>
          </w:rPr>
          <w:t xml:space="preserve">Dividir por zero</w:t>
        </w:r>
      </w:hyperlink>
    </w:p>
    <w:p>
      <w:pPr>
        <w:pStyle w:val="Compact"/>
        <w:numPr>
          <w:ilvl w:val="1"/>
          <w:numId w:val="1002"/>
        </w:numPr>
      </w:pPr>
      <w:hyperlink w:anchor="Xd6768af38384b93669b9431e85ee458c1ed8b3d">
        <w:r>
          <w:rPr>
            <w:rStyle w:val="Hyperlink"/>
          </w:rPr>
          <w:t xml:space="preserve">Referência a expressão lógica externa</w:t>
        </w:r>
      </w:hyperlink>
    </w:p>
    <w:p>
      <w:pPr>
        <w:pStyle w:val="Compact"/>
        <w:numPr>
          <w:ilvl w:val="1"/>
          <w:numId w:val="1002"/>
        </w:numPr>
      </w:pPr>
      <w:hyperlink w:anchor="X7fcc10a6e080f7614fc190645bbcf0d9120d323">
        <w:r>
          <w:rPr>
            <w:rStyle w:val="Hyperlink"/>
          </w:rPr>
          <w:t xml:space="preserve">Referência a mais caracteres que os existentes</w:t>
        </w:r>
      </w:hyperlink>
    </w:p>
    <w:p>
      <w:pPr>
        <w:pStyle w:val="Compact"/>
        <w:numPr>
          <w:ilvl w:val="0"/>
          <w:numId w:val="1001"/>
        </w:numPr>
      </w:pPr>
      <w:hyperlink w:anchor="Interpretandomensagensdeerro">
        <w:r>
          <w:rPr>
            <w:rStyle w:val="Hyperlink"/>
          </w:rPr>
          <w:t xml:space="preserve">Interpretando mensagens de erro</w:t>
        </w:r>
      </w:hyperlink>
    </w:p>
    <w:p>
      <w:pPr>
        <w:pStyle w:val="Compact"/>
        <w:numPr>
          <w:ilvl w:val="0"/>
          <w:numId w:val="1001"/>
        </w:numPr>
      </w:pPr>
      <w:hyperlink w:anchor="Resolu%C3%A7%C3%A3odedepend%C3%AAncias">
        <w:r>
          <w:rPr>
            <w:rStyle w:val="Hyperlink"/>
          </w:rPr>
          <w:t xml:space="preserve">Resolução de dependências</w:t>
        </w:r>
      </w:hyperlink>
    </w:p>
    <w:p>
      <w:pPr>
        <w:pStyle w:val="Compact"/>
        <w:numPr>
          <w:ilvl w:val="0"/>
          <w:numId w:val="1001"/>
        </w:numPr>
      </w:pPr>
      <w:hyperlink w:anchor="Refer%C3%AAnciascirculares">
        <w:r>
          <w:rPr>
            <w:rStyle w:val="Hyperlink"/>
          </w:rPr>
          <w:t xml:space="preserve">Referências circulares</w:t>
        </w:r>
      </w:hyperlink>
    </w:p>
    <w:p>
      <w:pPr>
        <w:pStyle w:val="Compact"/>
        <w:numPr>
          <w:ilvl w:val="1"/>
          <w:numId w:val="1003"/>
        </w:numPr>
      </w:pPr>
      <w:hyperlink w:anchor="ExemploSemprerecalcular">
        <w:r>
          <w:rPr>
            <w:rStyle w:val="Hyperlink"/>
          </w:rPr>
          <w:t xml:space="preserve">Exemplo: Sempre recalcular</w:t>
        </w:r>
      </w:hyperlink>
    </w:p>
    <w:p>
      <w:pPr>
        <w:pStyle w:val="Compact"/>
        <w:numPr>
          <w:ilvl w:val="1"/>
          <w:numId w:val="1003"/>
        </w:numPr>
      </w:pPr>
      <w:hyperlink w:anchor="X86890ecbaad42c306d051dd7adc1aa2eae63c92">
        <w:r>
          <w:rPr>
            <w:rStyle w:val="Hyperlink"/>
          </w:rPr>
          <w:t xml:space="preserve">Exemplo: Referência circular com várias fórmulas</w:t>
        </w:r>
      </w:hyperlink>
    </w:p>
    <w:p>
      <w:pPr>
        <w:pStyle w:val="Compact"/>
        <w:numPr>
          <w:ilvl w:val="1"/>
          <w:numId w:val="1003"/>
        </w:numPr>
      </w:pPr>
      <w:hyperlink w:anchor="Xfdbfebe3a50e271be3ad5dcdd4a47a669121c4d">
        <w:r>
          <w:rPr>
            <w:rStyle w:val="Hyperlink"/>
          </w:rPr>
          <w:t xml:space="preserve">Exemplo: Referência circular de loop direto</w:t>
        </w:r>
      </w:hyperlink>
    </w:p>
    <w:bookmarkStart w:id="21" w:name="Erroscomuns"/>
    <w:p>
      <w:pPr>
        <w:pStyle w:val="Heading2"/>
      </w:pPr>
      <w:r>
        <w:t xml:space="preserve">Erros comuns</w:t>
      </w:r>
    </w:p>
    <w:p>
      <w:pPr>
        <w:pStyle w:val="FirstParagraph"/>
      </w:pPr>
      <w:r>
        <w:t xml:space="preserve">Erros de sintaxe são a causa de muitos dos erros comuns.</w:t>
      </w:r>
    </w:p>
    <w:p>
      <w:pPr>
        <w:pStyle w:val="TableCaption"/>
      </w:pPr>
      <w:r>
        <w:t xml:space="preserve">A tabela a seguir fornece uma lista de erros comuns que ocorrem quando as funções DATE, ROUND, STRING e VALUEOF são usadas.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erros comuns que ocorrem quando as funções DATE, ROUND, STRING e VALUEOF são usad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</w:t>
            </w:r>
          </w:p>
        </w:tc>
        <w:tc>
          <w:tcPr/>
          <w:p>
            <w:pPr>
              <w:pStyle w:val="BodyText"/>
            </w:pPr>
            <w:r>
              <w:t xml:space="preserve">Datas e horas são convertidas em UTC (Coordinated Universal Time, horário universal coordenado) no banco de dados do</w:t>
            </w:r>
            <w:r>
              <w:t xml:space="preserve"> </w:t>
            </w:r>
            <w:r>
              <w:t xml:space="preserve">Archer</w:t>
            </w:r>
            <w:r>
              <w:t xml:space="preserve">. Como consequência, as datas e horas dos cálculos são retornadas em UTC.</w:t>
            </w:r>
          </w:p>
          <w:p>
            <w:pPr>
              <w:pStyle w:val="BodyText"/>
            </w:pPr>
            <w:r>
              <w:t xml:space="preserve">As datas e horas são convertidas para aquelas correspondentes às da localidade do usuário, quando são exibidas em um campo. Por exemplo, a localidade está no Fuso horário central e a data informada em um campo Data chamado Data de entrega é 3/8/2012, 21h. A data e a hora armazenadas no banco de dados são 4/8/2012 2h ARE. Qualquer usuário que visualizar esse registro com esse campo visualizará também o fuso horário do usuário. Por exemplo, o fuso horário do usuário é EST 8/3/2012 10:00 PM.</w:t>
            </w:r>
          </w:p>
          <w:p>
            <w:pPr>
              <w:pStyle w:val="BodyText"/>
            </w:pPr>
            <w:r>
              <w:t xml:space="preserve">Quando a data e a hora são manipuladas e exibidas em um tipo de campo diferente de um campo Data, elas são exibidas em UTC. Por exemplo, um campo de texto calculado com a fórmula DATEFORMAT([Data de entrega], "DD-MM-AAAA HH-MM") fazendo referência à Data de entrega da fórmula acima retorna 04-08-2012 2h.</w:t>
            </w:r>
          </w:p>
          <w:p>
            <w:pPr>
              <w:pStyle w:val="BodyText"/>
            </w:pPr>
            <w:r>
              <w:t xml:space="preserve">Um campo numérico calculado com a fórmula DAY ([Data de entrega]) retorna 4.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ROUND</w:t>
            </w:r>
          </w:p>
        </w:tc>
        <w:tc>
          <w:tcPr/>
          <w:p>
            <w:pPr>
              <w:pStyle w:val="BodyText"/>
            </w:pPr>
            <w:r>
              <w:t xml:space="preserve">Arredonda um número para um número especificado de dígitos. Quando o número à direita do ponto decimal for 5 ou maior, o número será arredondado para o inteiro mais próximo.</w:t>
            </w:r>
          </w:p>
          <w:p>
            <w:pPr>
              <w:pStyle w:val="BodyText"/>
            </w:pPr>
            <w:r>
              <w:t xml:space="preserve">Se o parâmetro núm_dígitos for maior que 0 (zero), o número será arredondado para o número de casas decimais especificado. Se o parâmetro núm_dígitos for igual a 0, o número será arredondado para o número inteiro mais próximo. Se o parâmetro núm_dígitos for menor que 0, o número será arredondado até o número especificado de casas decimais à esquerda da vírgula decimal.</w:t>
            </w:r>
          </w:p>
          <w:p>
            <w:pPr>
              <w:pStyle w:val="BodyText"/>
            </w:pPr>
            <w:r>
              <w:t xml:space="preserve">Por exemplo, se o parâmetro núm_dígitos for -1 e o número for 101,5, ele será arredondado para 100.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Quando você usar manipulações de string, considere os dados que estão armazenados no campo. Por exemplo, um campo Área de texto denominado Descrição contém &lt;strong&gt;Olá&lt;/strong&gt; e a fórmula é LEN([Descrição]). Apesar de o usuário visualizar apenas</w:t>
            </w:r>
            <w:r>
              <w:t xml:space="preserve"> </w:t>
            </w:r>
            <w:r>
              <w:rPr>
                <w:b/>
                <w:bCs/>
              </w:rPr>
              <w:t xml:space="preserve">Hello</w:t>
            </w:r>
            <w:r>
              <w:t xml:space="preserve">, o resultado do cálculo é 22, que é o número total de caracteres em uma string.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VALUEOF</w:t>
            </w:r>
          </w:p>
        </w:tc>
        <w:tc>
          <w:tcPr/>
          <w:p>
            <w:pPr>
              <w:pStyle w:val="BodyText"/>
            </w:pPr>
            <w:r>
              <w:t xml:space="preserve">É comum a concepção errada da função VALUEOF de que ela retorna verdadeiro ou falso se o valor referido for selecionado no campo referido. Frequentemente, uma fórmula é escrita como IF(VALUEOF[Cor], "Azul", 1,0) quando deveria ser escrita como IF([Cor] = VALUEOF[Cor], "Azul", 1,0).</w:t>
            </w:r>
          </w:p>
          <w:p>
            <w:pPr>
              <w:pStyle w:val="BodyText"/>
            </w:pPr>
            <w:r>
              <w:t xml:space="preserve">O único objetivo da função VALUEOF é tornar a fórmula ajustável a alterações de valor em uma Lista de valores. Se o texto de um valor na lista global ou personalizada de valores for alterado por um administrador, essa função automaticamente atualizará a fórmula para utilizar o novo texto para o valor.</w:t>
            </w:r>
          </w:p>
          <w:p>
            <w:pPr>
              <w:pStyle w:val="BodyText"/>
            </w:pPr>
            <w:r>
              <w:t xml:space="preserve">Por exemplo, se o valor "Azul" for referido em uma fórmula na função VALUEOF e depois for alterado para "Vermelho" na lista de valores, a referência do valor "Azul" será automaticamente alterada para "Vermelho" na fórmula.</w:t>
            </w:r>
          </w:p>
        </w:tc>
      </w:tr>
    </w:tbl>
    <w:bookmarkEnd w:id="21"/>
    <w:bookmarkStart w:id="27" w:name="Mensagensdeerrocomuns"/>
    <w:p>
      <w:pPr>
        <w:pStyle w:val="Heading2"/>
      </w:pPr>
      <w:r>
        <w:t xml:space="preserve">Mensagens de erro comuns</w:t>
      </w:r>
    </w:p>
    <w:p>
      <w:pPr>
        <w:pStyle w:val="FirstParagraph"/>
      </w:pPr>
      <w:r>
        <w:t xml:space="preserve">Os cenários a seguir são comuns e podem causar falha no cálculo de fórmulas:</w:t>
      </w:r>
    </w:p>
    <w:bookmarkStart w:id="22" w:name="Valorinválido"/>
    <w:p>
      <w:pPr>
        <w:pStyle w:val="Heading3"/>
      </w:pPr>
      <w:r>
        <w:t xml:space="preserve">Valor inválido</w:t>
      </w:r>
    </w:p>
    <w:p>
      <w:pPr>
        <w:pStyle w:val="TableCaption"/>
      </w:pPr>
      <w:r>
        <w:t xml:space="preserve">A tabela a seguir descreve um cenário de valor inválido.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valor inváli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DATEDIF([Data de abertura],[Data de entrega],HOUR)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O valor não é um número válido: Nome do parâmetro B2: serialDate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Um dos campos de data não tem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a função ISEMPTY para verificar campos de data vazios e evitar cálculos com um campo de data vazio.</w:t>
            </w:r>
          </w:p>
        </w:tc>
      </w:tr>
    </w:tbl>
    <w:bookmarkEnd w:id="22"/>
    <w:bookmarkStart w:id="23" w:name="Múltiplosvalores"/>
    <w:p>
      <w:pPr>
        <w:pStyle w:val="Heading3"/>
      </w:pPr>
      <w:r>
        <w:t xml:space="preserve">Múltiplos valores</w:t>
      </w:r>
    </w:p>
    <w:p>
      <w:pPr>
        <w:pStyle w:val="TableCaption"/>
      </w:pPr>
      <w:r>
        <w:t xml:space="preserve">A tabela a seguir descreve um cenário de múltiplos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múltiplos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DATEDIF([Primeira publicação],REF([Incidentes],[Data de abertura]),HOUR)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Um parâmetro "!2!A1:A2" esperado como valor único continha diversos valores. Nome do parâmetro: !2!A1:A2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DATEDIF espera apenas 1 valor e esse registro se refere a diversos incidentes.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uma função provisória para gerar 1 valor para o segundo parâmetro. Por exemplo, use a função MAX.</w:t>
            </w:r>
          </w:p>
        </w:tc>
      </w:tr>
    </w:tbl>
    <w:bookmarkEnd w:id="23"/>
    <w:bookmarkStart w:id="24" w:name="Dividirporzero"/>
    <w:p>
      <w:pPr>
        <w:pStyle w:val="Heading3"/>
      </w:pPr>
      <w:r>
        <w:t xml:space="preserve">Dividir por zero</w:t>
      </w:r>
    </w:p>
    <w:p>
      <w:pPr>
        <w:pStyle w:val="TableCaption"/>
      </w:pPr>
      <w:r>
        <w:t xml:space="preserve">A tabela a seguir descreve um cenário de divisão por zero.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divisão por zer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1 + 10/[Valor]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Um cálculo na fórmula retornou o valor não numérico infinito.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O valor é 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verificações de zero para evitar divisão por zero.</w:t>
            </w:r>
          </w:p>
        </w:tc>
      </w:tr>
    </w:tbl>
    <w:bookmarkEnd w:id="24"/>
    <w:bookmarkStart w:id="25" w:name="Referênciaaexpressãológicaexterna"/>
    <w:p>
      <w:pPr>
        <w:pStyle w:val="Heading3"/>
      </w:pPr>
      <w:r>
        <w:t xml:space="preserve">Referência a expressão lógica externa</w:t>
      </w:r>
    </w:p>
    <w:p>
      <w:pPr>
        <w:pStyle w:val="TableCaption"/>
      </w:pPr>
      <w:r>
        <w:t xml:space="preserve">A tabela a seguir descreve um cenário de referência fora da expressão lógica.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referência fora da expressão lógic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IF(VALUEOF([Risco],"Médio"), "verdadeiro", "falso")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_expressão inválida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Usar a função VALUEOF sem uma operação de igualdade.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Escreva a fórmula da seguinte maneira:</w:t>
            </w:r>
          </w:p>
          <w:p>
            <w:pPr>
              <w:pStyle w:val="BodyText"/>
            </w:pPr>
            <w:r>
              <w:t xml:space="preserve">IF([Risco]=VALUEOF([Risco],"Médio"),"verdadeiro","falso")</w:t>
            </w:r>
          </w:p>
        </w:tc>
      </w:tr>
    </w:tbl>
    <w:bookmarkEnd w:id="25"/>
    <w:bookmarkStart w:id="26" w:name="Referênciaamaiscaracteresqueosexistentes"/>
    <w:p>
      <w:pPr>
        <w:pStyle w:val="Heading3"/>
      </w:pPr>
      <w:r>
        <w:t xml:space="preserve">Referência a mais caracteres que os existentes</w:t>
      </w:r>
    </w:p>
    <w:p>
      <w:pPr>
        <w:pStyle w:val="TableCaption"/>
      </w:pPr>
      <w:r>
        <w:t xml:space="preserve">A tabela a seguir descreve um cenário de referência a mais caracteres do que existe.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referência a mais caracteres do que existe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SUBSTRING([Descrição],1,10)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O índice e o tamanho devem se referir a um local dentro da string. Nome do parâmetro: Tamanho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O campo Descrição contém menos caracteres que o número especificado. Nesse caso, o campo Descrição tem menos de 10 caracteres.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as funções LEFT ou RIGHT ou use essas funções em combinação com LEN para evitar que a leitura ultrapasse o final de uma string.</w:t>
            </w:r>
          </w:p>
        </w:tc>
      </w:tr>
    </w:tbl>
    <w:bookmarkEnd w:id="26"/>
    <w:bookmarkEnd w:id="27"/>
    <w:bookmarkStart w:id="28" w:name="Interpretandomensagensdeerro"/>
    <w:p>
      <w:pPr>
        <w:pStyle w:val="Heading2"/>
      </w:pPr>
      <w:r>
        <w:t xml:space="preserve">Interpretando mensagens de erro</w:t>
      </w:r>
    </w:p>
    <w:p>
      <w:pPr>
        <w:pStyle w:val="FirstParagraph"/>
      </w:pPr>
      <w:r>
        <w:t xml:space="preserve">O mecanismo de cálculo armazena dados em células ou intervalos, de forma muito parecida com uma planilha do Excel. Essas referências não são visíveis para um usuário, o que torna mais difícil a interpretação de mensagens de erro. O mecanismo de cálculo armazena as datas como números em células.</w:t>
      </w:r>
    </w:p>
    <w:p>
      <w:pPr>
        <w:pStyle w:val="BodyText"/>
      </w:pPr>
      <w:r>
        <w:t xml:space="preserve">Por exemplo, uma fórmula que compare 2 datas pode ser similar a:</w:t>
      </w:r>
    </w:p>
    <w:p>
      <w:pPr>
        <w:pStyle w:val="BodyText"/>
      </w:pPr>
      <w:r>
        <w:t xml:space="preserve">Exemplo de fórmula que compara duas datas</w:t>
      </w:r>
    </w:p>
    <w:p>
      <w:pPr>
        <w:pStyle w:val="BodyText"/>
      </w:pPr>
      <w:r>
        <w:t xml:space="preserve">Usando a fórmula como exemplo, a Data de abertura pode ser armazenada em B2 e a Data de entrega em B3.</w:t>
      </w:r>
    </w:p>
    <w:p>
      <w:pPr>
        <w:pStyle w:val="BodyText"/>
      </w:pPr>
      <w:r>
        <w:t xml:space="preserve">Uma mensagem de erro para esta fórmula pode ser semelhante a esta, onde B3 é a célula de parâmetro para Data de Vencimento e DATEDIF espera uma data de série válida:</w:t>
      </w:r>
    </w:p>
    <w:p>
      <w:pPr>
        <w:pStyle w:val="BodyText"/>
      </w:pPr>
      <w:r>
        <w:t xml:space="preserve">mensagem de erro de campo calculado</w:t>
      </w:r>
      <w:r>
        <w:t xml:space="preserve"> </w:t>
      </w:r>
    </w:p>
    <w:bookmarkEnd w:id="28"/>
    <w:bookmarkStart w:id="29" w:name="Resoluçãodedependências"/>
    <w:p>
      <w:pPr>
        <w:pStyle w:val="Heading2"/>
      </w:pPr>
      <w:r>
        <w:t xml:space="preserve">Resolução de dependências</w:t>
      </w:r>
    </w:p>
    <w:p>
      <w:pPr>
        <w:pStyle w:val="FirstParagraph"/>
      </w:pPr>
      <w:r>
        <w:t xml:space="preserve">Um dos aspectos mais avançados do trabalho com cálculos é a capacidade de referenciar 1 ou mais campos calculados em outra fórmula de um campo calculado.</w:t>
      </w:r>
    </w:p>
    <w:p>
      <w:pPr>
        <w:pStyle w:val="BodyText"/>
      </w:pPr>
      <w:r>
        <w:t xml:space="preserve">Por exemplo, um valor de pontuação final pode ser computado pela soma dos valores de vários campos calculados de pontuação da seção.</w:t>
      </w:r>
    </w:p>
    <w:p>
      <w:pPr>
        <w:pStyle w:val="BodyText"/>
      </w:pPr>
      <w:r>
        <w:t xml:space="preserve">Neste exemplo, há dependências de cálculo específicas. Cada um dos valores de pontuação da seção deve ser computado antes que a pontuação final o seja. Você pode especificar a ordem na qual os cálculos são efetuados. Depois que a ordem de cálculo do campo é estabelecida para um aplicativo, as dependências entre os campos serão autogerenciadas.</w:t>
      </w:r>
    </w:p>
    <w:bookmarkEnd w:id="29"/>
    <w:bookmarkStart w:id="35" w:name="Referênciascirculares"/>
    <w:p>
      <w:pPr>
        <w:pStyle w:val="Heading2"/>
      </w:pPr>
      <w:r>
        <w:t xml:space="preserve">Referências circulares</w:t>
      </w:r>
    </w:p>
    <w:p>
      <w:pPr>
        <w:pStyle w:val="FirstParagraph"/>
      </w:pPr>
      <w:r>
        <w:t xml:space="preserve">Às vezes, referências circulares são difíceis de ser detectadas. As referências circulares são originadas por fórmulas que criam um loop direto ou indireto.</w:t>
      </w:r>
    </w:p>
    <w:p>
      <w:pPr>
        <w:pStyle w:val="Compact"/>
        <w:numPr>
          <w:ilvl w:val="0"/>
          <w:numId w:val="1004"/>
        </w:numPr>
      </w:pPr>
      <w:r>
        <w:t xml:space="preserve">Um loop direto é criado quando uma série de referências de campos formam um circuito fechado.</w:t>
      </w:r>
    </w:p>
    <w:p>
      <w:pPr>
        <w:pStyle w:val="Compact"/>
        <w:numPr>
          <w:ilvl w:val="0"/>
          <w:numId w:val="1004"/>
        </w:numPr>
      </w:pPr>
      <w:r>
        <w:t xml:space="preserve">Às vezes, um loop indireto pode ser resultado de uma série de referências de campos que inclui uma referência a um campo que está definido como Sempre recalcular.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não permite fórmulas que possam resultar em referências circulares. Sempre que existir uma condição de possível referência circular, uma mensagem de validação será exibida.</w:t>
      </w:r>
    </w:p>
    <w:p>
      <w:pPr>
        <w:pStyle w:val="BodyText"/>
      </w:pPr>
      <w:r>
        <w:t xml:space="preserve">As mensagens de validação ajudam a reconciliar as referências circulares. As mensagens de validação abrangem o nome do campo e o nome do módulo, tanto do campo quanto do campo ao qual ele faz referência.</w:t>
      </w:r>
    </w:p>
    <w:p>
      <w:pPr>
        <w:pStyle w:val="TableCaption"/>
      </w:pPr>
      <w:r>
        <w:t xml:space="preserve">A tabela a seguir descreve exemplos de mensagens de validação.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exemplos de mensagens de validaçã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{fieldref01}</w:t>
            </w:r>
          </w:p>
        </w:tc>
        <w:tc>
          <w:tcPr/>
          <w:p>
            <w:pPr>
              <w:pStyle w:val="BodyText"/>
            </w:pPr>
            <w:r>
              <w:t xml:space="preserve">{modulename01}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{fieldref02}</w:t>
            </w:r>
          </w:p>
        </w:tc>
        <w:tc>
          <w:tcPr/>
          <w:p>
            <w:pPr>
              <w:pStyle w:val="BodyText"/>
            </w:pPr>
            <w:r>
              <w:t xml:space="preserve">{modulename02}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{fieldref01}</w:t>
            </w:r>
          </w:p>
        </w:tc>
        <w:tc>
          <w:tcPr/>
          <w:p>
            <w:pPr>
              <w:pStyle w:val="BodyText"/>
            </w:pPr>
            <w:r>
              <w:t xml:space="preserve">{modulename01}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p>
      <w:pPr>
        <w:pStyle w:val="BodyText"/>
      </w:pPr>
      <w:r>
        <w:t xml:space="preserve">A coluna Sempre Calc contém o valor do sinalizador Sempre recalcular definido no campo calculado. A coluna Submeter todos contém o valor configurado pela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questionário que contém perguntas que dependem de algum campo calculado.</w:t>
      </w:r>
    </w:p>
    <w:p>
      <w:pPr>
        <w:pStyle w:val="BodyText"/>
      </w:pPr>
      <w:r>
        <w:t xml:space="preserve">Para consultar os detalhes de referência circular, confirme o cálculo no gerador de fórmulas.</w:t>
      </w:r>
    </w:p>
    <w:p>
      <w:pPr>
        <w:pStyle w:val="TableCaption"/>
      </w:pPr>
      <w:r>
        <w:t xml:space="preserve">A tabela a seguir descreve uma possível mensagem de validação para uma condição que ocorre ao usar os campos de 2 aplicativos diferentes que se referem mutuamente.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a possível mensagem de validação para uma condição que ocorre ao usar os campos de 2 aplicativos diferentes que se referem mutuament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Start w:id="31" w:name="ExemploSemprerecalcular"/>
    <w:p>
      <w:pPr>
        <w:pStyle w:val="Heading3"/>
      </w:pPr>
      <w:r>
        <w:t xml:space="preserve">Exemplo: Sempre recalcular</w:t>
      </w:r>
    </w:p>
    <w:p>
      <w:pPr>
        <w:pStyle w:val="FirstParagraph"/>
      </w:pPr>
      <w:r>
        <w:t xml:space="preserve">Quando o sinalizador Sempre estiver configurado em um campo calculado, o campo será recalculado todas as vezes que um registro for salvo. A fórmula resulta indiretamente em um cálculo circular que não pode ser solucionado. Um erro de validação é reportado quando existe essa condição.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Clicar em Aplicar não fará o conteúdo ser recalculado.</w:t>
      </w:r>
    </w:p>
    <w:p>
      <w:pPr>
        <w:pStyle w:val="BodyText"/>
      </w:pPr>
      <w:r>
        <w:t xml:space="preserve">Por exemplo, a imagem a seguir exibe um loop indireto causado por uma referência circular. Essa condição resulta em uma referência circular porque Classificação depende indiretamente de Importância. Uma vez que o campo Classificação está configurado como Sempre recalcular, ele é calculado todas as vezes que o campo Importância é calculado.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30">
        <w:r>
          <w:rPr>
            <w:rStyle w:val="Hyperlink"/>
          </w:rPr>
          <w:t xml:space="preserve">Platform – Sempre recalcular diagrama</w:t>
        </w:r>
      </w:hyperlink>
    </w:p>
    <w:p>
      <w:pPr>
        <w:pStyle w:val="BodyText"/>
      </w:pPr>
      <w:r>
        <w:t xml:space="preserve">Exemplo de referência circular</w:t>
      </w:r>
    </w:p>
    <w:p>
      <w:pPr>
        <w:pStyle w:val="BodyText"/>
      </w:pPr>
      <w:r>
        <w:t xml:space="preserve">Tentativa de salvar a Fórmula 3. Uma referência circular é detectada e é exibida uma mensagem de validação que pode ser similar à seguinte:</w:t>
      </w:r>
    </w:p>
    <w:p>
      <w:pPr>
        <w:pStyle w:val="BodyText"/>
      </w:pPr>
      <w:r>
        <w:t xml:space="preserve">"Cálculo circular detectado: o caminho do círculo é exibido a seguir:"</w:t>
      </w:r>
    </w:p>
    <w:p>
      <w:pPr>
        <w:pStyle w:val="TableCaption"/>
      </w:pPr>
      <w:r>
        <w:t xml:space="preserve">A tabela a seguir descreve um cálculo circular.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 cálculo circular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End w:id="31"/>
    <w:bookmarkStart w:id="32" w:name="Xd2342ee3436361874d83bad113ef7b0d1a569c6"/>
    <w:p>
      <w:pPr>
        <w:pStyle w:val="Heading3"/>
      </w:pPr>
      <w:r>
        <w:t xml:space="preserve">Exemplo: Referência circular com várias fórmulas</w:t>
      </w:r>
    </w:p>
    <w:p>
      <w:pPr>
        <w:pStyle w:val="FirstParagraph"/>
      </w:pPr>
      <w:r>
        <w:t xml:space="preserve">Uma referência circular contendo 3 fórmulas em 3 aplicativos diferentes em que cada fórmula faz referência a um campo de um aplicativo de referência cruzada.</w:t>
      </w:r>
    </w:p>
    <w:p>
      <w:pPr>
        <w:pStyle w:val="TableCaption"/>
      </w:pPr>
      <w:r>
        <w:t xml:space="preserve">A tabela a seguir fornece exemplos de fórmulas.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exemplos de fórmula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 1:</w:t>
            </w:r>
          </w:p>
        </w:tc>
        <w:tc>
          <w:tcPr/>
          <w:p>
            <w:pPr>
              <w:pStyle w:val="BodyText"/>
            </w:pPr>
            <w:r>
              <w:t xml:space="preserve">(Campo 1 do Aplicativo A faz referência ao Campo 2 do Aplicativo B)</w:t>
            </w:r>
          </w:p>
          <w:p>
            <w:pPr>
              <w:pStyle w:val="BodyText"/>
            </w:pPr>
            <w:r>
              <w:t xml:space="preserve">Campo 1 é recalculado sempre que é salvo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Fórmula 2:</w:t>
            </w:r>
          </w:p>
        </w:tc>
        <w:tc>
          <w:tcPr/>
          <w:p>
            <w:pPr>
              <w:pStyle w:val="BodyText"/>
            </w:pPr>
            <w:r>
              <w:t xml:space="preserve">(Campo 2 do Aplicativo B faz referência ao Campo 3 do Aplicativo C)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Fórmula 3:</w:t>
            </w:r>
          </w:p>
        </w:tc>
        <w:tc>
          <w:tcPr/>
          <w:p>
            <w:pPr>
              <w:pStyle w:val="BodyText"/>
            </w:pPr>
            <w:r>
              <w:t xml:space="preserve">(Campo 3 do Aplicativo C faz referência ao Campo 1 do Aplicativo A)</w:t>
            </w:r>
          </w:p>
        </w:tc>
      </w:tr>
    </w:tbl>
    <w:p>
      <w:pPr>
        <w:pStyle w:val="BodyText"/>
      </w:pPr>
      <w:r>
        <w:t xml:space="preserve">Por exemplo, a referência circular é criada pelo Campo 3 fazendo referência ao Campo 1.</w:t>
      </w:r>
    </w:p>
    <w:p>
      <w:pPr>
        <w:pStyle w:val="BodyText"/>
      </w:pPr>
      <w:r>
        <w:t xml:space="preserve">Tentativa de salvar a Fórmula 1. Uma referência circular é detectada e é exibida uma mensagem de validação que pode ser similar à seguinte:</w:t>
      </w:r>
    </w:p>
    <w:p>
      <w:pPr>
        <w:pStyle w:val="BodyText"/>
      </w:pPr>
      <w:r>
        <w:t xml:space="preserve">"Cálculo circular detectado: o caminho do círculo é exibido a seguir:"</w:t>
      </w:r>
    </w:p>
    <w:p>
      <w:pPr>
        <w:pStyle w:val="TableCaption"/>
      </w:pPr>
      <w:r>
        <w:t xml:space="preserve">A tabela a seguir descreve um cálculo circular.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 cálculo circular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{Vendor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{Vendor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End w:id="32"/>
    <w:bookmarkStart w:id="34" w:name="ExemploReferênciacirculardeloopdireto"/>
    <w:p>
      <w:pPr>
        <w:pStyle w:val="Heading3"/>
      </w:pPr>
      <w:r>
        <w:t xml:space="preserve">Exemplo: Referência circular de loop direto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33">
        <w:r>
          <w:rPr>
            <w:rStyle w:val="Hyperlink"/>
          </w:rPr>
          <w:t xml:space="preserve">Platform – Diagrama de referência circular de loop direto</w:t>
        </w:r>
      </w:hyperlink>
    </w:p>
    <w:p>
      <w:pPr>
        <w:pStyle w:val="BodyText"/>
      </w:pPr>
      <w:r>
        <w:t xml:space="preserve">Referência circular com um exemplo de loop direto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./../resources/images/platform/calculations/platform_circular_always_recalculate.vsdx" TargetMode="External" /><Relationship Type="http://schemas.openxmlformats.org/officeDocument/2006/relationships/hyperlink" Id="rId33" Target="../../resources/images/platform/calculations/platform_circular_direct_loop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../resources/images/platform/calculations/platform_circular_always_recalculate.vsdx" TargetMode="External" /><Relationship Type="http://schemas.openxmlformats.org/officeDocument/2006/relationships/hyperlink" Id="rId33" Target="../../resources/images/platform/calculations/platform_circular_direct_loop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Solucionando problemas de cálculos</dc:title>
  <dc:creator/>
  <cp:keywords/>
  <dcterms:created xsi:type="dcterms:W3CDTF">2025-02-19T12:54:46Z</dcterms:created>
  <dcterms:modified xsi:type="dcterms:W3CDTF">2025-02-19T12:54:46Z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