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Professional Report on Document Management, Data Processing, and Operational Insights</w:t>
      </w:r>
    </w:p>
    <w:p>
      <w:pPr>
        <w:pStyle w:val="Heading1"/>
      </w:pPr>
      <w:r>
        <w:t xml:space="preserve">Introduction</w:t>
      </w:r>
    </w:p>
    <w:p>
      <w:pPr>
        <w:spacing w:after="160"/>
      </w:pPr>
      <w:r>
        <w:t xml:space="preserve">This report consolidates key findings from a collection of source documents, including case studies, an annual report, regulatory guidance, and technical guidance on Python file handling. The purpose is to provide a clear overview of best practices for scanning, storage, backup, deployment, regulatory compliance, and data processing within the organization.</w:t>
      </w:r>
    </w:p>
    <w:p>
      <w:pPr>
        <w:pStyle w:val="Heading1"/>
      </w:pPr>
      <w:r>
        <w:t xml:space="preserve">Document Processing and Security</w:t>
      </w:r>
    </w:p>
    <w:p>
      <w:pPr>
        <w:pStyle w:val="ListParagraph"/>
        <w:numPr>
          <w:ilvl w:val="0"/>
          <w:numId w:val="1"/>
        </w:numPr>
      </w:pPr>
      <w:r>
        <w:t xml:space="preserve">Implement ClamAV scanning of all uploaded files before any processing to detect malware and ensure file integrity.</w:t>
      </w:r>
    </w:p>
    <w:p>
      <w:pPr>
        <w:pStyle w:val="ListParagraph"/>
        <w:numPr>
          <w:ilvl w:val="0"/>
          <w:numId w:val="1"/>
        </w:numPr>
      </w:pPr>
      <w:r>
        <w:t xml:space="preserve">Store processed documents in an S3‑compatible object storage system to provide scalable, durable, and secure storage.</w:t>
      </w:r>
    </w:p>
    <w:p>
      <w:pPr>
        <w:pStyle w:val="Heading1"/>
      </w:pPr>
      <w:r>
        <w:t xml:space="preserve">Data Management and Backup</w:t>
      </w:r>
    </w:p>
    <w:p>
      <w:pPr>
        <w:pStyle w:val="ListParagraph"/>
        <w:numPr>
          <w:ilvl w:val="0"/>
          <w:numId w:val="1"/>
        </w:numPr>
      </w:pPr>
      <w:r>
        <w:t xml:space="preserve">Maintain original case‑study files for a 15‑year retention period to preserve historical data.</w:t>
      </w:r>
    </w:p>
    <w:p>
      <w:pPr>
        <w:pStyle w:val="ListParagraph"/>
        <w:numPr>
          <w:ilvl w:val="0"/>
          <w:numId w:val="1"/>
        </w:numPr>
      </w:pPr>
      <w:r>
        <w:t xml:space="preserve">Perform regular database backups combined with Point‑In‑Time Recovery (PITR) to protect against data loss and support rapid restoration.</w:t>
      </w:r>
    </w:p>
    <w:p>
      <w:pPr>
        <w:pStyle w:val="Heading1"/>
      </w:pPr>
      <w:r>
        <w:t xml:space="preserve">Deployment and CI/CD</w:t>
      </w:r>
    </w:p>
    <w:p>
      <w:pPr>
        <w:pStyle w:val="ListParagraph"/>
        <w:numPr>
          <w:ilvl w:val="0"/>
          <w:numId w:val="1"/>
        </w:numPr>
      </w:pPr>
      <w:r>
        <w:t xml:space="preserve">Use Docker and Docker Compose for containerized deployment, ensuring consistent environments across development, testing, and production.</w:t>
      </w:r>
    </w:p>
    <w:p>
      <w:pPr>
        <w:pStyle w:val="ListParagraph"/>
        <w:numPr>
          <w:ilvl w:val="0"/>
          <w:numId w:val="1"/>
        </w:numPr>
      </w:pPr>
      <w:r>
        <w:t xml:space="preserve">Integrate continuous integration and continuous deployment (CI/CD) pipelines with GitHub Actions to automate testing, building, and deployment processes.</w:t>
      </w:r>
    </w:p>
    <w:p>
      <w:pPr>
        <w:pStyle w:val="Heading1"/>
      </w:pPr>
      <w:r>
        <w:t xml:space="preserve">Annual Report Highlights (2024‑2025)</w:t>
      </w:r>
    </w:p>
    <w:p>
      <w:pPr>
        <w:pStyle w:val="ListParagraph"/>
        <w:numPr>
          <w:ilvl w:val="0"/>
          <w:numId w:val="1"/>
        </w:numPr>
      </w:pPr>
      <w:r>
        <w:t xml:space="preserve">The Management and Analysis Centre has been inaugurated, expanding analytical capabilities.</w:t>
      </w:r>
    </w:p>
    <w:p>
      <w:pPr>
        <w:pStyle w:val="ListParagraph"/>
        <w:numPr>
          <w:ilvl w:val="0"/>
          <w:numId w:val="1"/>
        </w:numPr>
      </w:pPr>
      <w:r>
        <w:t xml:space="preserve">A total of 12,569 reports have been handed over for digitization and geodatabase creation, comprising:</w:t>
      </w:r>
    </w:p>
    <w:p>
      <w:pPr>
        <w:pStyle w:val="ListParagraph"/>
        <w:numPr>
          <w:ilvl w:val="0"/>
          <w:numId w:val="1"/>
        </w:numPr>
      </w:pPr>
      <w:r>
        <w:t xml:space="preserve">7,763 exploration reports</w:t>
      </w:r>
    </w:p>
    <w:p>
      <w:pPr>
        <w:pStyle w:val="ListParagraph"/>
        <w:numPr>
          <w:ilvl w:val="0"/>
          <w:numId w:val="1"/>
        </w:numPr>
      </w:pPr>
      <w:r>
        <w:t xml:space="preserve">4,806 baseline reports</w:t>
      </w:r>
    </w:p>
    <w:p>
      <w:pPr>
        <w:pStyle w:val="ListParagraph"/>
        <w:numPr>
          <w:ilvl w:val="0"/>
          <w:numId w:val="1"/>
        </w:numPr>
      </w:pPr>
      <w:r>
        <w:t xml:space="preserve">Mineral reporting activity includes:</w:t>
      </w:r>
    </w:p>
    <w:p>
      <w:pPr>
        <w:pStyle w:val="ListParagraph"/>
        <w:numPr>
          <w:ilvl w:val="0"/>
          <w:numId w:val="1"/>
        </w:numPr>
      </w:pPr>
      <w:r>
        <w:t xml:space="preserve">7 reports on manganese and copper</w:t>
      </w:r>
    </w:p>
    <w:p>
      <w:pPr>
        <w:pStyle w:val="ListParagraph"/>
        <w:numPr>
          <w:ilvl w:val="0"/>
          <w:numId w:val="1"/>
        </w:numPr>
      </w:pPr>
      <w:r>
        <w:t xml:space="preserve">5 reports on limestone</w:t>
      </w:r>
    </w:p>
    <w:p>
      <w:pPr>
        <w:pStyle w:val="ListParagraph"/>
        <w:numPr>
          <w:ilvl w:val="0"/>
          <w:numId w:val="1"/>
        </w:numPr>
      </w:pPr>
      <w:r>
        <w:t xml:space="preserve">4 reports on gold</w:t>
      </w:r>
    </w:p>
    <w:p>
      <w:pPr>
        <w:pStyle w:val="ListParagraph"/>
        <w:numPr>
          <w:ilvl w:val="0"/>
          <w:numId w:val="1"/>
        </w:numPr>
      </w:pPr>
      <w:r>
        <w:t xml:space="preserve">3 reports on iron</w:t>
      </w:r>
    </w:p>
    <w:p>
      <w:pPr>
        <w:pStyle w:val="ListParagraph"/>
        <w:numPr>
          <w:ilvl w:val="0"/>
          <w:numId w:val="1"/>
        </w:numPr>
      </w:pPr>
      <w:r>
        <w:t xml:space="preserve">1 report each on dunite, magnetite, zinc, cobalt, molybdenum, and nickel</w:t>
      </w:r>
    </w:p>
    <w:p>
      <w:pPr>
        <w:pStyle w:val="Heading1"/>
      </w:pPr>
      <w:r>
        <w:t xml:space="preserve">Regulatory Listing Process</w:t>
      </w:r>
    </w:p>
    <w:p>
      <w:pPr>
        <w:pStyle w:val="ListParagraph"/>
        <w:numPr>
          <w:ilvl w:val="0"/>
          <w:numId w:val="1"/>
        </w:numPr>
      </w:pPr>
      <w:r>
        <w:t xml:space="preserve">The Securities and Futures Commission (SFC) may pause the vetting of listing documents that are unreasonably lengthy, taking into account:</w:t>
      </w:r>
    </w:p>
    <w:p>
      <w:pPr>
        <w:pStyle w:val="ListParagraph"/>
        <w:numPr>
          <w:ilvl w:val="0"/>
          <w:numId w:val="1"/>
        </w:numPr>
      </w:pPr>
      <w:r>
        <w:t xml:space="preserve">The nature of the applicant’s business</w:t>
      </w:r>
    </w:p>
    <w:p>
      <w:pPr>
        <w:pStyle w:val="ListParagraph"/>
        <w:numPr>
          <w:ilvl w:val="0"/>
          <w:numId w:val="1"/>
        </w:numPr>
      </w:pPr>
      <w:r>
        <w:t xml:space="preserve">The industry in which the applicant operates</w:t>
      </w:r>
    </w:p>
    <w:p>
      <w:pPr>
        <w:pStyle w:val="Heading1"/>
      </w:pPr>
      <w:r>
        <w:t xml:space="preserve">Python File Handling Guidance</w:t>
      </w:r>
    </w:p>
    <w:p>
      <w:pPr>
        <w:pStyle w:val="ListParagraph"/>
        <w:numPr>
          <w:ilvl w:val="0"/>
          <w:numId w:val="1"/>
        </w:numPr>
      </w:pPr>
      <w:r>
        <w:t xml:space="preserve">Change the working directory to the target directory before listing files to ensure correct path resolution.</w:t>
      </w:r>
    </w:p>
    <w:p>
      <w:pPr>
        <w:pStyle w:val="ListParagraph"/>
        <w:numPr>
          <w:ilvl w:val="0"/>
          <w:numId w:val="1"/>
        </w:numPr>
      </w:pPr>
      <w:r>
        <w:t xml:space="preserve">When listing files, prepend the directory name to each filename to avoid path errors.</w:t>
      </w:r>
    </w:p>
    <w:p>
      <w:pPr>
        <w:pStyle w:val="Heading1"/>
      </w:pPr>
      <w:r>
        <w:t xml:space="preserve">Conclusion</w:t>
      </w:r>
    </w:p>
    <w:p>
      <w:pPr>
        <w:spacing w:after="160"/>
      </w:pPr>
      <w:r>
        <w:t xml:space="preserve">The combined insights emphasize the importance of robust security scanning, reliable storage, comprehensive backup strategies, containerized and automated deployments, meticulous data digitization, adherence to regulatory standards, and careful file handling in software development. Implementing these practices will enhance operational efficiency, data integrity, and compliance across the organization.</w:t>
      </w:r>
    </w:p>
    <w:p>
      <w:pPr>
        <w:pStyle w:val="Heading1"/>
      </w:pPr>
      <w:r>
        <w:t xml:space="preserve">References</w:t>
      </w:r>
    </w:p>
    <w:p>
      <w:pPr>
        <w:pStyle w:val="ListParagraph"/>
        <w:numPr>
          <w:ilvl w:val="0"/>
          <w:numId w:val="1"/>
        </w:numPr>
      </w:pPr>
      <w:r>
        <w:t xml:space="preserve">Case studies (AutoRecovered).docx – Scanning, storage, backup, and deployment details.</w:t>
      </w:r>
    </w:p>
    <w:p>
      <w:pPr>
        <w:pStyle w:val="ListParagraph"/>
        <w:numPr>
          <w:ilvl w:val="0"/>
          <w:numId w:val="1"/>
        </w:numPr>
      </w:pPr>
      <w:r>
        <w:t xml:space="preserve">Annual Report 2024‑2025.pdf – Mineral reporting statistics and digitization efforts.</w:t>
      </w:r>
    </w:p>
    <w:p>
      <w:pPr>
        <w:pStyle w:val="ListParagraph"/>
        <w:numPr>
          <w:ilvl w:val="0"/>
          <w:numId w:val="1"/>
        </w:numPr>
      </w:pPr>
      <w:r>
        <w:t xml:space="preserve">openFile.pdf – SFC regulatory guidance on listing document length.</w:t>
      </w:r>
    </w:p>
    <w:p>
      <w:pPr>
        <w:pStyle w:val="ListParagraph"/>
        <w:numPr>
          <w:ilvl w:val="0"/>
          <w:numId w:val="1"/>
        </w:numPr>
      </w:pPr>
      <w:r>
        <w:t xml:space="preserve">python.pdf – Recommendations for directory handling in Python scripts.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ple-system" w:cs="-apple-system" w:eastAsia="-apple-system" w:hAnsi="-apple-system"/>
        <w:color w:val="1e3a8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pPr>
    <w:rPr>
      <w:b/>
      <w:bCs/>
      <w:color w:val="1e40af"/>
      <w:sz w:val="48"/>
      <w:szCs w:val="48"/>
    </w:rPr>
  </w:style>
  <w:style w:type="paragraph" w:styleId="Heading1">
    <w:name w:val="Heading 1"/>
    <w:basedOn w:val="Normal"/>
    <w:next w:val="Normal"/>
    <w:qFormat/>
    <w:pPr>
      <w:spacing w:after="120" w:before="240"/>
    </w:pPr>
    <w:rPr>
      <w:b/>
      <w:bCs/>
      <w:color w:val="3b82f6"/>
      <w:sz w:val="32"/>
      <w:szCs w:val="32"/>
    </w:rPr>
  </w:style>
  <w:style w:type="paragraph" w:styleId="Heading2">
    <w:name w:val="Heading 2"/>
    <w:basedOn w:val="Normal"/>
    <w:next w:val="Normal"/>
    <w:qFormat/>
    <w:pPr>
      <w:spacing w:after="120" w:before="240"/>
    </w:pPr>
    <w:rPr>
      <w:b/>
      <w:bCs/>
      <w:color w:val="1e3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Report on Document Management, Data Processing, and Operational Insights</dc:title>
  <dc:creator>Un-named</dc:creator>
  <cp:lastModifiedBy>Un-named</cp:lastModifiedBy>
  <cp:revision>1</cp:revision>
  <dcterms:created xsi:type="dcterms:W3CDTF">2026-09-02T06:40:17.112Z</dcterms:created>
  <dcterms:modified xsi:type="dcterms:W3CDTF">2026-09-02T06:40:17.112Z</dcterms:modified>
</cp:coreProperties>
</file>

<file path=docProps/custom.xml><?xml version="1.0" encoding="utf-8"?>
<Properties xmlns="http://schemas.openxmlformats.org/officeDocument/2006/custom-properties" xmlns:vt="http://schemas.openxmlformats.org/officeDocument/2006/docPropsVTypes"/>
</file>