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color w:val="1A2332"/>
          <w:sz w:val="26"/>
        </w:rPr>
        <w:t>Erstes Mandantengespräch – Unterlagen-Checkliste für Vermieter</w:t>
      </w:r>
    </w:p>
    <w:p>
      <w:pPr>
        <w:spacing w:before="0" w:after="160"/>
      </w:pPr>
      <w:r>
        <w:rPr>
          <w:rFonts w:ascii="Calibri" w:hAnsi="Calibri" w:eastAsia="Calibri"/>
          <w:b w:val="0"/>
          <w:color w:val="4A5568"/>
          <w:sz w:val="18"/>
        </w:rPr>
        <w:t>Handout für Steuerfachangestellte · Aufnahme eines Vermieters (Einkünfte aus VuV) · Privatperson mit Vermietung</w:t>
      </w:r>
    </w:p>
    <w:p>
      <w:pPr>
        <w:spacing w:before="240" w:after="80"/>
        <w:shd w:val="clear" w:color="auto" w:fill="EEF5FB"/>
        <w:ind w:left="57"/>
      </w:pPr>
      <w:r>
        <w:rPr>
          <w:rFonts w:ascii="Calibri" w:hAnsi="Calibri" w:eastAsia="Calibri"/>
          <w:b/>
          <w:color w:val="1E5A8A"/>
          <w:sz w:val="22"/>
        </w:rPr>
        <w:t>Mandantentyp: Vermieter (Privatperson mit Einkünften aus Vermietung und Verpachtung)</w:t>
      </w:r>
    </w:p>
    <w:p>
      <w:pPr>
        <w:spacing w:before="0" w:after="80"/>
      </w:pPr>
      <w:r>
        <w:rPr>
          <w:rFonts w:ascii="Calibri" w:hAnsi="Calibri" w:eastAsia="Calibri"/>
          <w:b w:val="0"/>
          <w:i/>
          <w:color w:val="4A5568"/>
          <w:sz w:val="18"/>
        </w:rPr>
        <w:t>Ziel: korrekte Erfassung der VuV-Einkünfte (§ 21 EStG), AfA, Werbungskosten und Stammdaten.</w:t>
      </w:r>
    </w:p>
    <w:p>
      <w:pPr>
        <w:spacing w:before="160" w:after="40"/>
      </w:pPr>
      <w:r>
        <w:rPr>
          <w:rFonts w:ascii="Calibri" w:hAnsi="Calibri" w:eastAsia="Calibri"/>
          <w:b/>
          <w:color w:val="4A5568"/>
          <w:sz w:val="20"/>
        </w:rPr>
        <w:t>1. Stammdaten / Identität</w:t>
      </w:r>
    </w:p>
    <w:tbl>
      <w:tblPr>
        <w:tblStyle w:val="TableGrid"/>
        <w:tblW w:type="auto" w:w="0"/>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Personalausweis / Reisepass</w:t>
            </w:r>
          </w:p>
        </w:tc>
        <w:tc>
          <w:tcPr>
            <w:tcW w:type="dxa" w:w="5669"/>
          </w:tcPr>
          <w:p>
            <w:pPr>
              <w:spacing w:before="20" w:after="20"/>
            </w:pPr>
            <w:r>
              <w:rPr>
                <w:rFonts w:ascii="Calibri" w:hAnsi="Calibri" w:eastAsia="Calibri"/>
                <w:b w:val="0"/>
                <w:color w:val="4A5568"/>
                <w:sz w:val="18"/>
              </w:rPr>
              <w:t>Identität prüfen; korrekte Daten für Mandantenakte und Vollmacht</w:t>
            </w:r>
          </w:p>
        </w:tc>
      </w:tr>
      <w:tr>
        <w:tc>
          <w:tcPr>
            <w:tcW w:type="dxa" w:w="4082"/>
          </w:tcPr>
          <w:p>
            <w:pPr>
              <w:spacing w:before="20" w:after="20"/>
            </w:pPr>
            <w:r>
              <w:rPr>
                <w:rFonts w:ascii="Calibri" w:hAnsi="Calibri" w:eastAsia="Calibri"/>
                <w:b/>
                <w:color w:val="1A2332"/>
                <w:sz w:val="18"/>
              </w:rPr>
              <w:t>Steueridentifikationsnummer (IdNr.)</w:t>
            </w:r>
          </w:p>
        </w:tc>
        <w:tc>
          <w:tcPr>
            <w:tcW w:type="dxa" w:w="5669"/>
          </w:tcPr>
          <w:p>
            <w:pPr>
              <w:spacing w:before="20" w:after="20"/>
            </w:pPr>
            <w:r>
              <w:rPr>
                <w:rFonts w:ascii="Calibri" w:hAnsi="Calibri" w:eastAsia="Calibri"/>
                <w:b w:val="0"/>
                <w:color w:val="4A5568"/>
                <w:sz w:val="18"/>
              </w:rPr>
              <w:t>Eindeutige Zuordnung beim Finanzamt; Pflichtangabe in der ESt-Erklärung</w:t>
            </w:r>
          </w:p>
        </w:tc>
      </w:tr>
      <w:tr>
        <w:tc>
          <w:tcPr>
            <w:tcW w:type="dxa" w:w="4082"/>
          </w:tcPr>
          <w:p>
            <w:pPr>
              <w:spacing w:before="20" w:after="20"/>
            </w:pPr>
            <w:r>
              <w:rPr>
                <w:rFonts w:ascii="Calibri" w:hAnsi="Calibri" w:eastAsia="Calibri"/>
                <w:b/>
                <w:color w:val="1A2332"/>
                <w:sz w:val="18"/>
              </w:rPr>
              <w:t>Steuernummer (falls vorhanden)</w:t>
            </w:r>
          </w:p>
        </w:tc>
        <w:tc>
          <w:tcPr>
            <w:tcW w:type="dxa" w:w="5669"/>
          </w:tcPr>
          <w:p>
            <w:pPr>
              <w:spacing w:before="20" w:after="20"/>
            </w:pPr>
            <w:r>
              <w:rPr>
                <w:rFonts w:ascii="Calibri" w:hAnsi="Calibri" w:eastAsia="Calibri"/>
                <w:b w:val="0"/>
                <w:color w:val="4A5568"/>
                <w:sz w:val="18"/>
              </w:rPr>
              <w:t>Zuordnung zum Finanzamt / bisherigen Veranlagungen</w:t>
            </w:r>
          </w:p>
        </w:tc>
      </w:tr>
      <w:tr>
        <w:tc>
          <w:tcPr>
            <w:tcW w:type="dxa" w:w="4082"/>
          </w:tcPr>
          <w:p>
            <w:pPr>
              <w:spacing w:before="20" w:after="20"/>
            </w:pPr>
            <w:r>
              <w:rPr>
                <w:rFonts w:ascii="Calibri" w:hAnsi="Calibri" w:eastAsia="Calibri"/>
                <w:b/>
                <w:color w:val="1A2332"/>
                <w:sz w:val="18"/>
              </w:rPr>
              <w:t>IBAN / Kontoverbindung</w:t>
            </w:r>
          </w:p>
        </w:tc>
        <w:tc>
          <w:tcPr>
            <w:tcW w:type="dxa" w:w="5669"/>
          </w:tcPr>
          <w:p>
            <w:pPr>
              <w:spacing w:before="20" w:after="20"/>
            </w:pPr>
            <w:r>
              <w:rPr>
                <w:rFonts w:ascii="Calibri" w:hAnsi="Calibri" w:eastAsia="Calibri"/>
                <w:b w:val="0"/>
                <w:color w:val="4A5568"/>
                <w:sz w:val="18"/>
              </w:rPr>
              <w:t>Erstattung / Lastschrift; Bankverbindung im ELSTER-Formular</w:t>
            </w:r>
          </w:p>
        </w:tc>
      </w:tr>
      <w:tr>
        <w:tc>
          <w:tcPr>
            <w:tcW w:type="dxa" w:w="4082"/>
          </w:tcPr>
          <w:p>
            <w:pPr>
              <w:spacing w:before="20" w:after="20"/>
            </w:pPr>
            <w:r>
              <w:rPr>
                <w:rFonts w:ascii="Calibri" w:hAnsi="Calibri" w:eastAsia="Calibri"/>
                <w:b/>
                <w:color w:val="1A2332"/>
                <w:sz w:val="18"/>
              </w:rPr>
              <w:t>Familienstand / IdNr. Ehepartner &amp; Kinder (falls relevant)</w:t>
            </w:r>
          </w:p>
        </w:tc>
        <w:tc>
          <w:tcPr>
            <w:tcW w:type="dxa" w:w="5669"/>
          </w:tcPr>
          <w:p>
            <w:pPr>
              <w:spacing w:before="20" w:after="20"/>
            </w:pPr>
            <w:r>
              <w:rPr>
                <w:rFonts w:ascii="Calibri" w:hAnsi="Calibri" w:eastAsia="Calibri"/>
                <w:b w:val="0"/>
                <w:color w:val="4A5568"/>
                <w:sz w:val="18"/>
              </w:rPr>
              <w:t>Veranlagungsart, Kinderfreibeträge, gemeinsame Veranlagung</w:t>
            </w:r>
          </w:p>
        </w:tc>
      </w:tr>
      <w:tr>
        <w:tc>
          <w:tcPr>
            <w:tcW w:type="dxa" w:w="4082"/>
          </w:tcPr>
          <w:p>
            <w:pPr>
              <w:spacing w:before="20" w:after="20"/>
            </w:pPr>
            <w:r>
              <w:rPr>
                <w:rFonts w:ascii="Calibri" w:hAnsi="Calibri" w:eastAsia="Calibri"/>
                <w:b/>
                <w:color w:val="1A2332"/>
                <w:sz w:val="18"/>
              </w:rPr>
              <w:t>Vollmacht für die Kanzlei (unterschrieben)</w:t>
            </w:r>
          </w:p>
        </w:tc>
        <w:tc>
          <w:tcPr>
            <w:tcW w:type="dxa" w:w="5669"/>
          </w:tcPr>
          <w:p>
            <w:pPr>
              <w:spacing w:before="20" w:after="20"/>
            </w:pPr>
            <w:r>
              <w:rPr>
                <w:rFonts w:ascii="Calibri" w:hAnsi="Calibri" w:eastAsia="Calibri"/>
                <w:b w:val="0"/>
                <w:color w:val="4A5568"/>
                <w:sz w:val="18"/>
              </w:rPr>
              <w:t>Vertretung gegenüber dem Finanzamt; Abruf von Bescheiden</w:t>
            </w:r>
          </w:p>
        </w:tc>
      </w:tr>
    </w:tbl>
    <w:p>
      <w:pPr>
        <w:spacing w:before="160" w:after="40"/>
      </w:pPr>
      <w:r>
        <w:rPr>
          <w:rFonts w:ascii="Calibri" w:hAnsi="Calibri" w:eastAsia="Calibri"/>
          <w:b/>
          <w:color w:val="4A5568"/>
          <w:sz w:val="20"/>
        </w:rPr>
        <w:t>2. Vorjahre / Finanzamt</w:t>
      </w:r>
    </w:p>
    <w:tbl>
      <w:tblPr>
        <w:tblStyle w:val="TableGrid"/>
        <w:tblW w:type="auto" w:w="0"/>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Letzte(r) Einkommensteuerbescheid(e)</w:t>
            </w:r>
          </w:p>
        </w:tc>
        <w:tc>
          <w:tcPr>
            <w:tcW w:type="dxa" w:w="5669"/>
          </w:tcPr>
          <w:p>
            <w:pPr>
              <w:spacing w:before="20" w:after="20"/>
            </w:pPr>
            <w:r>
              <w:rPr>
                <w:rFonts w:ascii="Calibri" w:hAnsi="Calibri" w:eastAsia="Calibri"/>
                <w:b w:val="0"/>
                <w:color w:val="4A5568"/>
                <w:sz w:val="18"/>
              </w:rPr>
              <w:t>Vorjahreswerte VuV, Vorauszahlungen, Verluste, offene Einsprüche</w:t>
            </w:r>
          </w:p>
        </w:tc>
      </w:tr>
      <w:tr>
        <w:tc>
          <w:tcPr>
            <w:tcW w:type="dxa" w:w="4082"/>
          </w:tcPr>
          <w:p>
            <w:pPr>
              <w:spacing w:before="20" w:after="20"/>
            </w:pPr>
            <w:r>
              <w:rPr>
                <w:rFonts w:ascii="Calibri" w:hAnsi="Calibri" w:eastAsia="Calibri"/>
                <w:b/>
                <w:color w:val="1A2332"/>
                <w:sz w:val="18"/>
              </w:rPr>
              <w:t>Bisherige ESt-Erklärungen (Anlage V)</w:t>
            </w:r>
          </w:p>
        </w:tc>
        <w:tc>
          <w:tcPr>
            <w:tcW w:type="dxa" w:w="5669"/>
          </w:tcPr>
          <w:p>
            <w:pPr>
              <w:spacing w:before="20" w:after="20"/>
            </w:pPr>
            <w:r>
              <w:rPr>
                <w:rFonts w:ascii="Calibri" w:hAnsi="Calibri" w:eastAsia="Calibri"/>
                <w:b w:val="0"/>
                <w:color w:val="4A5568"/>
                <w:sz w:val="18"/>
              </w:rPr>
              <w:t>Kontinuität der Objekt- und AfA-Daten; was bereits angesetzt wurde</w:t>
            </w:r>
          </w:p>
        </w:tc>
      </w:tr>
      <w:tr>
        <w:tc>
          <w:tcPr>
            <w:tcW w:type="dxa" w:w="4082"/>
          </w:tcPr>
          <w:p>
            <w:pPr>
              <w:spacing w:before="20" w:after="20"/>
            </w:pPr>
            <w:r>
              <w:rPr>
                <w:rFonts w:ascii="Calibri" w:hAnsi="Calibri" w:eastAsia="Calibri"/>
                <w:b/>
                <w:color w:val="1A2332"/>
                <w:sz w:val="18"/>
              </w:rPr>
              <w:t>Bescheide zu Vorauszahlungen</w:t>
            </w:r>
          </w:p>
        </w:tc>
        <w:tc>
          <w:tcPr>
            <w:tcW w:type="dxa" w:w="5669"/>
          </w:tcPr>
          <w:p>
            <w:pPr>
              <w:spacing w:before="20" w:after="20"/>
            </w:pPr>
            <w:r>
              <w:rPr>
                <w:rFonts w:ascii="Calibri" w:hAnsi="Calibri" w:eastAsia="Calibri"/>
                <w:b w:val="0"/>
                <w:color w:val="4A5568"/>
                <w:sz w:val="18"/>
              </w:rPr>
              <w:t>Anpassung der ESt-Vorauszahlungen bei neuen Objekten / Leerstand</w:t>
            </w:r>
          </w:p>
        </w:tc>
      </w:tr>
    </w:tbl>
    <w:p>
      <w:pPr>
        <w:spacing w:before="160" w:after="40"/>
      </w:pPr>
      <w:r>
        <w:rPr>
          <w:rFonts w:ascii="Calibri" w:hAnsi="Calibri" w:eastAsia="Calibri"/>
          <w:b/>
          <w:color w:val="4A5568"/>
          <w:sz w:val="20"/>
        </w:rPr>
        <w:t>3. Objektunterlagen (Immobilie)</w:t>
      </w:r>
    </w:p>
    <w:tbl>
      <w:tblPr>
        <w:tblStyle w:val="TableGrid"/>
        <w:tblW w:type="auto" w:w="0"/>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Kaufvertrag / Notarvertrag</w:t>
            </w:r>
          </w:p>
        </w:tc>
        <w:tc>
          <w:tcPr>
            <w:tcW w:type="dxa" w:w="5669"/>
          </w:tcPr>
          <w:p>
            <w:pPr>
              <w:spacing w:before="20" w:after="20"/>
            </w:pPr>
            <w:r>
              <w:rPr>
                <w:rFonts w:ascii="Calibri" w:hAnsi="Calibri" w:eastAsia="Calibri"/>
                <w:b w:val="0"/>
                <w:color w:val="4A5568"/>
                <w:sz w:val="18"/>
              </w:rPr>
              <w:t>Anschaffungskosten; Aufteilung Grundstück / Gebäude für AfA</w:t>
            </w:r>
          </w:p>
        </w:tc>
      </w:tr>
      <w:tr>
        <w:tc>
          <w:tcPr>
            <w:tcW w:type="dxa" w:w="4082"/>
          </w:tcPr>
          <w:p>
            <w:pPr>
              <w:spacing w:before="20" w:after="20"/>
            </w:pPr>
            <w:r>
              <w:rPr>
                <w:rFonts w:ascii="Calibri" w:hAnsi="Calibri" w:eastAsia="Calibri"/>
                <w:b/>
                <w:color w:val="1A2332"/>
                <w:sz w:val="18"/>
              </w:rPr>
              <w:t>Grundbuchauszug / Eigentumsnachweis</w:t>
            </w:r>
          </w:p>
        </w:tc>
        <w:tc>
          <w:tcPr>
            <w:tcW w:type="dxa" w:w="5669"/>
          </w:tcPr>
          <w:p>
            <w:pPr>
              <w:spacing w:before="20" w:after="20"/>
            </w:pPr>
            <w:r>
              <w:rPr>
                <w:rFonts w:ascii="Calibri" w:hAnsi="Calibri" w:eastAsia="Calibri"/>
                <w:b w:val="0"/>
                <w:color w:val="4A5568"/>
                <w:sz w:val="18"/>
              </w:rPr>
              <w:t>Eigentümerstellung; Objektzuordnung</w:t>
            </w:r>
          </w:p>
        </w:tc>
      </w:tr>
      <w:tr>
        <w:tc>
          <w:tcPr>
            <w:tcW w:type="dxa" w:w="4082"/>
          </w:tcPr>
          <w:p>
            <w:pPr>
              <w:spacing w:before="20" w:after="20"/>
            </w:pPr>
            <w:r>
              <w:rPr>
                <w:rFonts w:ascii="Calibri" w:hAnsi="Calibri" w:eastAsia="Calibri"/>
                <w:b/>
                <w:color w:val="1A2332"/>
                <w:sz w:val="18"/>
              </w:rPr>
              <w:t>Grundsteuerbescheid</w:t>
            </w:r>
          </w:p>
        </w:tc>
        <w:tc>
          <w:tcPr>
            <w:tcW w:type="dxa" w:w="5669"/>
          </w:tcPr>
          <w:p>
            <w:pPr>
              <w:spacing w:before="20" w:after="20"/>
            </w:pPr>
            <w:r>
              <w:rPr>
                <w:rFonts w:ascii="Calibri" w:hAnsi="Calibri" w:eastAsia="Calibri"/>
                <w:b w:val="0"/>
                <w:color w:val="4A5568"/>
                <w:sz w:val="18"/>
              </w:rPr>
              <w:t>Objektkennzeichnung; Grundsteuer als Werbungskosten</w:t>
            </w:r>
          </w:p>
        </w:tc>
      </w:tr>
      <w:tr>
        <w:tc>
          <w:tcPr>
            <w:tcW w:type="dxa" w:w="4082"/>
          </w:tcPr>
          <w:p>
            <w:pPr>
              <w:spacing w:before="20" w:after="20"/>
            </w:pPr>
            <w:r>
              <w:rPr>
                <w:rFonts w:ascii="Calibri" w:hAnsi="Calibri" w:eastAsia="Calibri"/>
                <w:b/>
                <w:color w:val="1A2332"/>
                <w:sz w:val="18"/>
              </w:rPr>
              <w:t>Baubeschreibung / Wohnflächenberechnung / Teilungserklärung</w:t>
            </w:r>
          </w:p>
        </w:tc>
        <w:tc>
          <w:tcPr>
            <w:tcW w:type="dxa" w:w="5669"/>
          </w:tcPr>
          <w:p>
            <w:pPr>
              <w:spacing w:before="20" w:after="20"/>
            </w:pPr>
            <w:r>
              <w:rPr>
                <w:rFonts w:ascii="Calibri" w:hAnsi="Calibri" w:eastAsia="Calibri"/>
                <w:b w:val="0"/>
                <w:color w:val="4A5568"/>
                <w:sz w:val="18"/>
              </w:rPr>
              <w:t>Nutzfläche, Wohn-/Nutzungsanteil, Sondereigentum (ETW)</w:t>
            </w:r>
          </w:p>
        </w:tc>
      </w:tr>
      <w:tr>
        <w:tc>
          <w:tcPr>
            <w:tcW w:type="dxa" w:w="4082"/>
          </w:tcPr>
          <w:p>
            <w:pPr>
              <w:spacing w:before="20" w:after="20"/>
            </w:pPr>
            <w:r>
              <w:rPr>
                <w:rFonts w:ascii="Calibri" w:hAnsi="Calibri" w:eastAsia="Calibri"/>
                <w:b/>
                <w:color w:val="1A2332"/>
                <w:sz w:val="18"/>
              </w:rPr>
              <w:t>Übergabeprotokoll / Fertigstellungsnachweis (Neubau)</w:t>
            </w:r>
          </w:p>
        </w:tc>
        <w:tc>
          <w:tcPr>
            <w:tcW w:type="dxa" w:w="5669"/>
          </w:tcPr>
          <w:p>
            <w:pPr>
              <w:spacing w:before="20" w:after="20"/>
            </w:pPr>
            <w:r>
              <w:rPr>
                <w:rFonts w:ascii="Calibri" w:hAnsi="Calibri" w:eastAsia="Calibri"/>
                <w:b w:val="0"/>
                <w:color w:val="4A5568"/>
                <w:sz w:val="18"/>
              </w:rPr>
              <w:t>AfA-Beginn; Anschaffungs-/Herstellungszeitpunkt</w:t>
            </w:r>
          </w:p>
        </w:tc>
      </w:tr>
      <w:tr>
        <w:tc>
          <w:tcPr>
            <w:tcW w:type="dxa" w:w="4082"/>
          </w:tcPr>
          <w:p>
            <w:pPr>
              <w:spacing w:before="20" w:after="20"/>
            </w:pPr>
            <w:r>
              <w:rPr>
                <w:rFonts w:ascii="Calibri" w:hAnsi="Calibri" w:eastAsia="Calibri"/>
                <w:b/>
                <w:color w:val="1A2332"/>
                <w:sz w:val="18"/>
              </w:rPr>
              <w:t>Modernisierungs-/Sanierungsrechnungen (mit Zahlungsnachweis)</w:t>
            </w:r>
          </w:p>
        </w:tc>
        <w:tc>
          <w:tcPr>
            <w:tcW w:type="dxa" w:w="5669"/>
          </w:tcPr>
          <w:p>
            <w:pPr>
              <w:spacing w:before="20" w:after="20"/>
            </w:pPr>
            <w:r>
              <w:rPr>
                <w:rFonts w:ascii="Calibri" w:hAnsi="Calibri" w:eastAsia="Calibri"/>
                <w:b w:val="0"/>
                <w:color w:val="4A5568"/>
                <w:sz w:val="18"/>
              </w:rPr>
              <w:t>Erhaltungsaufwand vs. Herstellungskosten; AfA-Bemessung</w:t>
            </w:r>
          </w:p>
        </w:tc>
      </w:tr>
    </w:tbl>
    <w:p>
      <w:pPr>
        <w:spacing w:before="160" w:after="40"/>
      </w:pPr>
      <w:r>
        <w:rPr>
          <w:rFonts w:ascii="Calibri" w:hAnsi="Calibri" w:eastAsia="Calibri"/>
          <w:b/>
          <w:color w:val="4A5568"/>
          <w:sz w:val="20"/>
        </w:rPr>
        <w:t>4. Einnahmen aus Vermietung</w:t>
      </w:r>
    </w:p>
    <w:tbl>
      <w:tblPr>
        <w:tblStyle w:val="TableGrid"/>
        <w:tblW w:type="auto" w:w="0"/>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Mietverträge (aktuell und Vorjahr)</w:t>
            </w:r>
          </w:p>
        </w:tc>
        <w:tc>
          <w:tcPr>
            <w:tcW w:type="dxa" w:w="5669"/>
          </w:tcPr>
          <w:p>
            <w:pPr>
              <w:spacing w:before="20" w:after="20"/>
            </w:pPr>
            <w:r>
              <w:rPr>
                <w:rFonts w:ascii="Calibri" w:hAnsi="Calibri" w:eastAsia="Calibri"/>
                <w:b w:val="0"/>
                <w:color w:val="4A5568"/>
                <w:sz w:val="18"/>
              </w:rPr>
              <w:t>Mieteinnahmen, Kaution, Mietdauer, Nebenkostenregelung</w:t>
            </w:r>
          </w:p>
        </w:tc>
      </w:tr>
      <w:tr>
        <w:tc>
          <w:tcPr>
            <w:tcW w:type="dxa" w:w="4082"/>
          </w:tcPr>
          <w:p>
            <w:pPr>
              <w:spacing w:before="20" w:after="20"/>
            </w:pPr>
            <w:r>
              <w:rPr>
                <w:rFonts w:ascii="Calibri" w:hAnsi="Calibri" w:eastAsia="Calibri"/>
                <w:b/>
                <w:color w:val="1A2332"/>
                <w:sz w:val="18"/>
              </w:rPr>
              <w:t>Mieteingänge / Kontoauszüge Vermietung</w:t>
            </w:r>
          </w:p>
        </w:tc>
        <w:tc>
          <w:tcPr>
            <w:tcW w:type="dxa" w:w="5669"/>
          </w:tcPr>
          <w:p>
            <w:pPr>
              <w:spacing w:before="20" w:after="20"/>
            </w:pPr>
            <w:r>
              <w:rPr>
                <w:rFonts w:ascii="Calibri" w:hAnsi="Calibri" w:eastAsia="Calibri"/>
                <w:b w:val="0"/>
                <w:color w:val="4A5568"/>
                <w:sz w:val="18"/>
              </w:rPr>
              <w:t>Ist-Einnahmen nachweisen; Leerstandszeiten erkennen</w:t>
            </w:r>
          </w:p>
        </w:tc>
      </w:tr>
      <w:tr>
        <w:tc>
          <w:tcPr>
            <w:tcW w:type="dxa" w:w="4082"/>
          </w:tcPr>
          <w:p>
            <w:pPr>
              <w:spacing w:before="20" w:after="20"/>
            </w:pPr>
            <w:r>
              <w:rPr>
                <w:rFonts w:ascii="Calibri" w:hAnsi="Calibri" w:eastAsia="Calibri"/>
                <w:b/>
                <w:color w:val="1A2332"/>
                <w:sz w:val="18"/>
              </w:rPr>
              <w:t>Nebenkostenabrechnungen an Mieter</w:t>
            </w:r>
          </w:p>
        </w:tc>
        <w:tc>
          <w:tcPr>
            <w:tcW w:type="dxa" w:w="5669"/>
          </w:tcPr>
          <w:p>
            <w:pPr>
              <w:spacing w:before="20" w:after="20"/>
            </w:pPr>
            <w:r>
              <w:rPr>
                <w:rFonts w:ascii="Calibri" w:hAnsi="Calibri" w:eastAsia="Calibri"/>
                <w:b w:val="0"/>
                <w:color w:val="4A5568"/>
                <w:sz w:val="18"/>
              </w:rPr>
              <w:t>Umlagen, Nachzahlungen/Erstattungen; Abgrenzung</w:t>
            </w:r>
          </w:p>
        </w:tc>
      </w:tr>
      <w:tr>
        <w:tc>
          <w:tcPr>
            <w:tcW w:type="dxa" w:w="4082"/>
          </w:tcPr>
          <w:p>
            <w:pPr>
              <w:spacing w:before="20" w:after="20"/>
            </w:pPr>
            <w:r>
              <w:rPr>
                <w:rFonts w:ascii="Calibri" w:hAnsi="Calibri" w:eastAsia="Calibri"/>
                <w:b/>
                <w:color w:val="1A2332"/>
                <w:sz w:val="18"/>
              </w:rPr>
              <w:t>Aufstellung Mieteinnahmen je Objekt und Jahr</w:t>
            </w:r>
          </w:p>
        </w:tc>
        <w:tc>
          <w:tcPr>
            <w:tcW w:type="dxa" w:w="5669"/>
          </w:tcPr>
          <w:p>
            <w:pPr>
              <w:spacing w:before="20" w:after="20"/>
            </w:pPr>
            <w:r>
              <w:rPr>
                <w:rFonts w:ascii="Calibri" w:hAnsi="Calibri" w:eastAsia="Calibri"/>
                <w:b w:val="0"/>
                <w:color w:val="4A5568"/>
                <w:sz w:val="18"/>
              </w:rPr>
              <w:t>Anlage V korrekt und vollständig ausfüllen</w:t>
            </w:r>
          </w:p>
        </w:tc>
      </w:tr>
      <w:tr>
        <w:tc>
          <w:tcPr>
            <w:tcW w:type="dxa" w:w="4082"/>
          </w:tcPr>
          <w:p>
            <w:pPr>
              <w:spacing w:before="20" w:after="20"/>
            </w:pPr>
            <w:r>
              <w:rPr>
                <w:rFonts w:ascii="Calibri" w:hAnsi="Calibri" w:eastAsia="Calibri"/>
                <w:b/>
                <w:color w:val="1A2332"/>
                <w:sz w:val="18"/>
              </w:rPr>
              <w:t>Nachweise zu Leerstand / Mietausfall</w:t>
            </w:r>
          </w:p>
        </w:tc>
        <w:tc>
          <w:tcPr>
            <w:tcW w:type="dxa" w:w="5669"/>
          </w:tcPr>
          <w:p>
            <w:pPr>
              <w:spacing w:before="20" w:after="20"/>
            </w:pPr>
            <w:r>
              <w:rPr>
                <w:rFonts w:ascii="Calibri" w:hAnsi="Calibri" w:eastAsia="Calibri"/>
                <w:b w:val="0"/>
                <w:color w:val="4A5568"/>
                <w:sz w:val="18"/>
              </w:rPr>
              <w:t>Werbungskosten / Begründung fehlender Einnahmen</w:t>
            </w:r>
          </w:p>
        </w:tc>
      </w:tr>
    </w:tbl>
    <w:p>
      <w:pPr>
        <w:spacing w:before="160" w:after="40"/>
      </w:pPr>
      <w:r>
        <w:rPr>
          <w:rFonts w:ascii="Calibri" w:hAnsi="Calibri" w:eastAsia="Calibri"/>
          <w:b/>
          <w:color w:val="4A5568"/>
          <w:sz w:val="20"/>
        </w:rPr>
        <w:t>5. Werbungskosten / Ausgaben</w:t>
      </w:r>
    </w:p>
    <w:tbl>
      <w:tblPr>
        <w:tblStyle w:val="TableGrid"/>
        <w:tblW w:type="auto" w:w="0"/>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Darlehensverträge &amp; Zinsbescheinigungen der Bank</w:t>
            </w:r>
          </w:p>
        </w:tc>
        <w:tc>
          <w:tcPr>
            <w:tcW w:type="dxa" w:w="5669"/>
          </w:tcPr>
          <w:p>
            <w:pPr>
              <w:spacing w:before="20" w:after="20"/>
            </w:pPr>
            <w:r>
              <w:rPr>
                <w:rFonts w:ascii="Calibri" w:hAnsi="Calibri" w:eastAsia="Calibri"/>
                <w:b w:val="0"/>
                <w:color w:val="4A5568"/>
                <w:sz w:val="18"/>
              </w:rPr>
              <w:t>Schuldzinsen als Werbungskosten; Tilgung ist nicht abziehbar</w:t>
            </w:r>
          </w:p>
        </w:tc>
      </w:tr>
      <w:tr>
        <w:tc>
          <w:tcPr>
            <w:tcW w:type="dxa" w:w="4082"/>
          </w:tcPr>
          <w:p>
            <w:pPr>
              <w:spacing w:before="20" w:after="20"/>
            </w:pPr>
            <w:r>
              <w:rPr>
                <w:rFonts w:ascii="Calibri" w:hAnsi="Calibri" w:eastAsia="Calibri"/>
                <w:b/>
                <w:color w:val="1A2332"/>
                <w:sz w:val="18"/>
              </w:rPr>
              <w:t>Versicherungen (Gebäude, Haftpflicht, Glas o. Ä.)</w:t>
            </w:r>
          </w:p>
        </w:tc>
        <w:tc>
          <w:tcPr>
            <w:tcW w:type="dxa" w:w="5669"/>
          </w:tcPr>
          <w:p>
            <w:pPr>
              <w:spacing w:before="20" w:after="20"/>
            </w:pPr>
            <w:r>
              <w:rPr>
                <w:rFonts w:ascii="Calibri" w:hAnsi="Calibri" w:eastAsia="Calibri"/>
                <w:b w:val="0"/>
                <w:color w:val="4A5568"/>
                <w:sz w:val="18"/>
              </w:rPr>
              <w:t>Laufende Werbungskosten der Vermietung</w:t>
            </w:r>
          </w:p>
        </w:tc>
      </w:tr>
      <w:tr>
        <w:tc>
          <w:tcPr>
            <w:tcW w:type="dxa" w:w="4082"/>
          </w:tcPr>
          <w:p>
            <w:pPr>
              <w:spacing w:before="20" w:after="20"/>
            </w:pPr>
            <w:r>
              <w:rPr>
                <w:rFonts w:ascii="Calibri" w:hAnsi="Calibri" w:eastAsia="Calibri"/>
                <w:b/>
                <w:color w:val="1A2332"/>
                <w:sz w:val="18"/>
              </w:rPr>
              <w:t>Hausgeldabrechnungen / Wohngeld (ETW, WEG)</w:t>
            </w:r>
          </w:p>
        </w:tc>
        <w:tc>
          <w:tcPr>
            <w:tcW w:type="dxa" w:w="5669"/>
          </w:tcPr>
          <w:p>
            <w:pPr>
              <w:spacing w:before="20" w:after="20"/>
            </w:pPr>
            <w:r>
              <w:rPr>
                <w:rFonts w:ascii="Calibri" w:hAnsi="Calibri" w:eastAsia="Calibri"/>
                <w:b w:val="0"/>
                <w:color w:val="4A5568"/>
                <w:sz w:val="18"/>
              </w:rPr>
              <w:t>Umlagefähige und nicht umlagefähige Kosten trennen</w:t>
            </w:r>
          </w:p>
        </w:tc>
      </w:tr>
      <w:tr>
        <w:tc>
          <w:tcPr>
            <w:tcW w:type="dxa" w:w="4082"/>
          </w:tcPr>
          <w:p>
            <w:pPr>
              <w:spacing w:before="20" w:after="20"/>
            </w:pPr>
            <w:r>
              <w:rPr>
                <w:rFonts w:ascii="Calibri" w:hAnsi="Calibri" w:eastAsia="Calibri"/>
                <w:b/>
                <w:color w:val="1A2332"/>
                <w:sz w:val="18"/>
              </w:rPr>
              <w:t>Reparatur- und Instandhaltungsrechnungen</w:t>
            </w:r>
          </w:p>
        </w:tc>
        <w:tc>
          <w:tcPr>
            <w:tcW w:type="dxa" w:w="5669"/>
          </w:tcPr>
          <w:p>
            <w:pPr>
              <w:spacing w:before="20" w:after="20"/>
            </w:pPr>
            <w:r>
              <w:rPr>
                <w:rFonts w:ascii="Calibri" w:hAnsi="Calibri" w:eastAsia="Calibri"/>
                <w:b w:val="0"/>
                <w:color w:val="4A5568"/>
                <w:sz w:val="18"/>
              </w:rPr>
              <w:t>Erhaltungsaufwand; Abzug im Jahr der Zahlung</w:t>
            </w:r>
          </w:p>
        </w:tc>
      </w:tr>
      <w:tr>
        <w:tc>
          <w:tcPr>
            <w:tcW w:type="dxa" w:w="4082"/>
          </w:tcPr>
          <w:p>
            <w:pPr>
              <w:spacing w:before="20" w:after="20"/>
            </w:pPr>
            <w:r>
              <w:rPr>
                <w:rFonts w:ascii="Calibri" w:hAnsi="Calibri" w:eastAsia="Calibri"/>
                <w:b/>
                <w:color w:val="1A2332"/>
                <w:sz w:val="18"/>
              </w:rPr>
              <w:t>Verwaltungskosten / Makler / Kontoführungsgebühren</w:t>
            </w:r>
          </w:p>
        </w:tc>
        <w:tc>
          <w:tcPr>
            <w:tcW w:type="dxa" w:w="5669"/>
          </w:tcPr>
          <w:p>
            <w:pPr>
              <w:spacing w:before="20" w:after="20"/>
            </w:pPr>
            <w:r>
              <w:rPr>
                <w:rFonts w:ascii="Calibri" w:hAnsi="Calibri" w:eastAsia="Calibri"/>
                <w:b w:val="0"/>
                <w:color w:val="4A5568"/>
                <w:sz w:val="18"/>
              </w:rPr>
              <w:t>Weitere Werbungskosten der VuV</w:t>
            </w:r>
          </w:p>
        </w:tc>
      </w:tr>
      <w:tr>
        <w:tc>
          <w:tcPr>
            <w:tcW w:type="dxa" w:w="4082"/>
          </w:tcPr>
          <w:p>
            <w:pPr>
              <w:spacing w:before="20" w:after="20"/>
            </w:pPr>
            <w:r>
              <w:rPr>
                <w:rFonts w:ascii="Calibri" w:hAnsi="Calibri" w:eastAsia="Calibri"/>
                <w:b/>
                <w:color w:val="1A2332"/>
                <w:sz w:val="18"/>
              </w:rPr>
              <w:t>Fahrtkosten / Fahrtenbuch oder Kilometernachweis zum Objekt</w:t>
            </w:r>
          </w:p>
        </w:tc>
        <w:tc>
          <w:tcPr>
            <w:tcW w:type="dxa" w:w="5669"/>
          </w:tcPr>
          <w:p>
            <w:pPr>
              <w:spacing w:before="20" w:after="20"/>
            </w:pPr>
            <w:r>
              <w:rPr>
                <w:rFonts w:ascii="Calibri" w:hAnsi="Calibri" w:eastAsia="Calibri"/>
                <w:b w:val="0"/>
                <w:color w:val="4A5568"/>
                <w:sz w:val="18"/>
              </w:rPr>
              <w:t>Werbungskosten für Objektbesuche / Verwaltung</w:t>
            </w:r>
          </w:p>
        </w:tc>
      </w:tr>
      <w:tr>
        <w:tc>
          <w:tcPr>
            <w:tcW w:type="dxa" w:w="4082"/>
          </w:tcPr>
          <w:p>
            <w:pPr>
              <w:spacing w:before="20" w:after="20"/>
            </w:pPr>
            <w:r>
              <w:rPr>
                <w:rFonts w:ascii="Calibri" w:hAnsi="Calibri" w:eastAsia="Calibri"/>
                <w:b/>
                <w:color w:val="1A2332"/>
                <w:sz w:val="18"/>
              </w:rPr>
              <w:t>AfA-Berechnung / bisherige AfA-Listen</w:t>
            </w:r>
          </w:p>
        </w:tc>
        <w:tc>
          <w:tcPr>
            <w:tcW w:type="dxa" w:w="5669"/>
          </w:tcPr>
          <w:p>
            <w:pPr>
              <w:spacing w:before="20" w:after="20"/>
            </w:pPr>
            <w:r>
              <w:rPr>
                <w:rFonts w:ascii="Calibri" w:hAnsi="Calibri" w:eastAsia="Calibri"/>
                <w:b w:val="0"/>
                <w:color w:val="4A5568"/>
                <w:sz w:val="18"/>
              </w:rPr>
              <w:t>Abschreibung fortführen; Doppelansatz vermeiden</w:t>
            </w:r>
          </w:p>
        </w:tc>
      </w:tr>
    </w:tbl>
    <w:p>
      <w:pPr>
        <w:spacing w:before="160" w:after="40"/>
      </w:pPr>
      <w:r>
        <w:rPr>
          <w:rFonts w:ascii="Calibri" w:hAnsi="Calibri" w:eastAsia="Calibri"/>
          <w:b/>
          <w:color w:val="4A5568"/>
          <w:sz w:val="20"/>
        </w:rPr>
        <w:t>6. Weitere Einkünfte &amp; Abzüge (falls vorhanden)</w:t>
      </w:r>
    </w:p>
    <w:tbl>
      <w:tblPr>
        <w:tblStyle w:val="TableGrid"/>
        <w:tblW w:type="auto" w:w="0"/>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Lohnsteuerbescheinigung / Rentenbescheid</w:t>
            </w:r>
          </w:p>
        </w:tc>
        <w:tc>
          <w:tcPr>
            <w:tcW w:type="dxa" w:w="5669"/>
          </w:tcPr>
          <w:p>
            <w:pPr>
              <w:spacing w:before="20" w:after="20"/>
            </w:pPr>
            <w:r>
              <w:rPr>
                <w:rFonts w:ascii="Calibri" w:hAnsi="Calibri" w:eastAsia="Calibri"/>
                <w:b w:val="0"/>
                <w:color w:val="4A5568"/>
                <w:sz w:val="18"/>
              </w:rPr>
              <w:t>Übrige Einkünfte für die Gesamtveranlagung</w:t>
            </w:r>
          </w:p>
        </w:tc>
      </w:tr>
      <w:tr>
        <w:tc>
          <w:tcPr>
            <w:tcW w:type="dxa" w:w="4082"/>
          </w:tcPr>
          <w:p>
            <w:pPr>
              <w:spacing w:before="20" w:after="20"/>
            </w:pPr>
            <w:r>
              <w:rPr>
                <w:rFonts w:ascii="Calibri" w:hAnsi="Calibri" w:eastAsia="Calibri"/>
                <w:b/>
                <w:color w:val="1A2332"/>
                <w:sz w:val="18"/>
              </w:rPr>
              <w:t>Kapitalerträge: Steuerbescheinigungen</w:t>
            </w:r>
          </w:p>
        </w:tc>
        <w:tc>
          <w:tcPr>
            <w:tcW w:type="dxa" w:w="5669"/>
          </w:tcPr>
          <w:p>
            <w:pPr>
              <w:spacing w:before="20" w:after="20"/>
            </w:pPr>
            <w:r>
              <w:rPr>
                <w:rFonts w:ascii="Calibri" w:hAnsi="Calibri" w:eastAsia="Calibri"/>
                <w:b w:val="0"/>
                <w:color w:val="4A5568"/>
                <w:sz w:val="18"/>
              </w:rPr>
              <w:t>Abgeltungsteuer / Günstigerprüfung</w:t>
            </w:r>
          </w:p>
        </w:tc>
      </w:tr>
      <w:tr>
        <w:tc>
          <w:tcPr>
            <w:tcW w:type="dxa" w:w="4082"/>
          </w:tcPr>
          <w:p>
            <w:pPr>
              <w:spacing w:before="20" w:after="20"/>
            </w:pPr>
            <w:r>
              <w:rPr>
                <w:rFonts w:ascii="Calibri" w:hAnsi="Calibri" w:eastAsia="Calibri"/>
                <w:b/>
                <w:color w:val="1A2332"/>
                <w:sz w:val="18"/>
              </w:rPr>
              <w:t>Vorsorgebeiträge, Spenden, Kirchensteuer</w:t>
            </w:r>
          </w:p>
        </w:tc>
        <w:tc>
          <w:tcPr>
            <w:tcW w:type="dxa" w:w="5669"/>
          </w:tcPr>
          <w:p>
            <w:pPr>
              <w:spacing w:before="20" w:after="20"/>
            </w:pPr>
            <w:r>
              <w:rPr>
                <w:rFonts w:ascii="Calibri" w:hAnsi="Calibri" w:eastAsia="Calibri"/>
                <w:b w:val="0"/>
                <w:color w:val="4A5568"/>
                <w:sz w:val="18"/>
              </w:rPr>
              <w:t>Sonderausgaben</w:t>
            </w:r>
          </w:p>
        </w:tc>
      </w:tr>
      <w:tr>
        <w:tc>
          <w:tcPr>
            <w:tcW w:type="dxa" w:w="4082"/>
          </w:tcPr>
          <w:p>
            <w:pPr>
              <w:spacing w:before="20" w:after="20"/>
            </w:pPr>
            <w:r>
              <w:rPr>
                <w:rFonts w:ascii="Calibri" w:hAnsi="Calibri" w:eastAsia="Calibri"/>
                <w:b/>
                <w:color w:val="1A2332"/>
                <w:sz w:val="18"/>
              </w:rPr>
              <w:t>Haushaltsnahe Dienstleistungen / Handwerker (§ 35a) – nur eigener Haushalt</w:t>
            </w:r>
          </w:p>
        </w:tc>
        <w:tc>
          <w:tcPr>
            <w:tcW w:type="dxa" w:w="5669"/>
          </w:tcPr>
          <w:p>
            <w:pPr>
              <w:spacing w:before="20" w:after="20"/>
            </w:pPr>
            <w:r>
              <w:rPr>
                <w:rFonts w:ascii="Calibri" w:hAnsi="Calibri" w:eastAsia="Calibri"/>
                <w:b w:val="0"/>
                <w:color w:val="4A5568"/>
                <w:sz w:val="18"/>
              </w:rPr>
              <w:t>Nicht mit Vermietungsobjekt verwechseln; eigene Wohnung getrennt führen</w:t>
            </w:r>
          </w:p>
        </w:tc>
      </w:tr>
    </w:tbl>
    <w:p>
      <w:pPr>
        <w:spacing w:before="160" w:after="40"/>
      </w:pPr>
      <w:r>
        <w:rPr>
          <w:rFonts w:ascii="Calibri" w:hAnsi="Calibri" w:eastAsia="Calibri"/>
          <w:b/>
          <w:color w:val="4A5568"/>
          <w:sz w:val="20"/>
        </w:rPr>
        <w:t>7. Verträge &amp; Sonderfälle Vermietung</w:t>
      </w:r>
    </w:p>
    <w:tbl>
      <w:tblPr>
        <w:tblStyle w:val="TableGrid"/>
        <w:tblW w:type="auto" w:w="0"/>
        <w:tblLook w:firstColumn="1" w:firstRow="1" w:lastColumn="0" w:lastRow="0" w:noHBand="0" w:noVBand="1" w:val="04A0"/>
      </w:tblPr>
      <w:tblGrid>
        <w:gridCol w:w="4933"/>
        <w:gridCol w:w="4933"/>
      </w:tblGrid>
      <w:tr>
        <w:tc>
          <w:tcPr>
            <w:tcW w:type="dxa" w:w="4082"/>
            <w:shd w:val="clear" w:color="auto" w:fill="F3F5F8"/>
          </w:tcPr>
          <w:p>
            <w:pPr>
              <w:spacing w:before="40" w:after="40"/>
            </w:pPr>
            <w:r>
              <w:rPr>
                <w:rFonts w:ascii="Calibri" w:hAnsi="Calibri" w:eastAsia="Calibri"/>
                <w:b/>
                <w:sz w:val="18"/>
              </w:rPr>
              <w:t>Unterlage</w:t>
            </w:r>
          </w:p>
        </w:tc>
        <w:tc>
          <w:tcPr>
            <w:tcW w:type="dxa" w:w="5669"/>
            <w:shd w:val="clear" w:color="auto" w:fill="F3F5F8"/>
          </w:tcPr>
          <w:p>
            <w:pPr>
              <w:spacing w:before="40" w:after="40"/>
            </w:pPr>
            <w:r>
              <w:rPr>
                <w:rFonts w:ascii="Calibri" w:hAnsi="Calibri" w:eastAsia="Calibri"/>
                <w:b/>
                <w:sz w:val="18"/>
              </w:rPr>
              <w:t>Warum benötigt? (Hinweisfunktion)</w:t>
            </w:r>
          </w:p>
        </w:tc>
      </w:tr>
      <w:tr>
        <w:tc>
          <w:tcPr>
            <w:tcW w:type="dxa" w:w="4082"/>
          </w:tcPr>
          <w:p>
            <w:pPr>
              <w:spacing w:before="20" w:after="20"/>
            </w:pPr>
            <w:r>
              <w:rPr>
                <w:rFonts w:ascii="Calibri" w:hAnsi="Calibri" w:eastAsia="Calibri"/>
                <w:b/>
                <w:color w:val="1A2332"/>
                <w:sz w:val="18"/>
              </w:rPr>
              <w:t>Verträge mit nahen Angehörigen (Vermietung an Kinder/Eltern)</w:t>
            </w:r>
          </w:p>
        </w:tc>
        <w:tc>
          <w:tcPr>
            <w:tcW w:type="dxa" w:w="5669"/>
          </w:tcPr>
          <w:p>
            <w:pPr>
              <w:spacing w:before="20" w:after="20"/>
            </w:pPr>
            <w:r>
              <w:rPr>
                <w:rFonts w:ascii="Calibri" w:hAnsi="Calibri" w:eastAsia="Calibri"/>
                <w:b w:val="0"/>
                <w:color w:val="4A5568"/>
                <w:sz w:val="18"/>
              </w:rPr>
              <w:t>Fremdvergleich; Anerkennung durch Finanzamt</w:t>
            </w:r>
          </w:p>
        </w:tc>
      </w:tr>
      <w:tr>
        <w:tc>
          <w:tcPr>
            <w:tcW w:type="dxa" w:w="4082"/>
          </w:tcPr>
          <w:p>
            <w:pPr>
              <w:spacing w:before="20" w:after="20"/>
            </w:pPr>
            <w:r>
              <w:rPr>
                <w:rFonts w:ascii="Calibri" w:hAnsi="Calibri" w:eastAsia="Calibri"/>
                <w:b/>
                <w:color w:val="1A2332"/>
                <w:sz w:val="18"/>
              </w:rPr>
              <w:t>Ferienwohnung / kurzfristige Vermietung: Belegungsübersicht</w:t>
            </w:r>
          </w:p>
        </w:tc>
        <w:tc>
          <w:tcPr>
            <w:tcW w:type="dxa" w:w="5669"/>
          </w:tcPr>
          <w:p>
            <w:pPr>
              <w:spacing w:before="20" w:after="20"/>
            </w:pPr>
            <w:r>
              <w:rPr>
                <w:rFonts w:ascii="Calibri" w:hAnsi="Calibri" w:eastAsia="Calibri"/>
                <w:b w:val="0"/>
                <w:color w:val="4A5568"/>
                <w:sz w:val="18"/>
              </w:rPr>
              <w:t>Liebhaberei-Prüfung; Vorsteuer / USt ggf. prüfen</w:t>
            </w:r>
          </w:p>
        </w:tc>
      </w:tr>
      <w:tr>
        <w:tc>
          <w:tcPr>
            <w:tcW w:type="dxa" w:w="4082"/>
          </w:tcPr>
          <w:p>
            <w:pPr>
              <w:spacing w:before="20" w:after="20"/>
            </w:pPr>
            <w:r>
              <w:rPr>
                <w:rFonts w:ascii="Calibri" w:hAnsi="Calibri" w:eastAsia="Calibri"/>
                <w:b/>
                <w:color w:val="1A2332"/>
                <w:sz w:val="18"/>
              </w:rPr>
              <w:t>Gewerbliche Mitvermietung / möblierte Vermietung</w:t>
            </w:r>
          </w:p>
        </w:tc>
        <w:tc>
          <w:tcPr>
            <w:tcW w:type="dxa" w:w="5669"/>
          </w:tcPr>
          <w:p>
            <w:pPr>
              <w:spacing w:before="20" w:after="20"/>
            </w:pPr>
            <w:r>
              <w:rPr>
                <w:rFonts w:ascii="Calibri" w:hAnsi="Calibri" w:eastAsia="Calibri"/>
                <w:b w:val="0"/>
                <w:color w:val="4A5568"/>
                <w:sz w:val="18"/>
              </w:rPr>
              <w:t>Abgrenzung VuV vs. Gewerbebetrieb</w:t>
            </w:r>
          </w:p>
        </w:tc>
      </w:tr>
      <w:tr>
        <w:tc>
          <w:tcPr>
            <w:tcW w:type="dxa" w:w="4082"/>
          </w:tcPr>
          <w:p>
            <w:pPr>
              <w:spacing w:before="20" w:after="20"/>
            </w:pPr>
            <w:r>
              <w:rPr>
                <w:rFonts w:ascii="Calibri" w:hAnsi="Calibri" w:eastAsia="Calibri"/>
                <w:b/>
                <w:color w:val="1A2332"/>
                <w:sz w:val="18"/>
              </w:rPr>
              <w:t>Umsatzsteueroption / USt-Voranmeldungen (falls optiert)</w:t>
            </w:r>
          </w:p>
        </w:tc>
        <w:tc>
          <w:tcPr>
            <w:tcW w:type="dxa" w:w="5669"/>
          </w:tcPr>
          <w:p>
            <w:pPr>
              <w:spacing w:before="20" w:after="20"/>
            </w:pPr>
            <w:r>
              <w:rPr>
                <w:rFonts w:ascii="Calibri" w:hAnsi="Calibri" w:eastAsia="Calibri"/>
                <w:b w:val="0"/>
                <w:color w:val="4A5568"/>
                <w:sz w:val="18"/>
              </w:rPr>
              <w:t>Vorsteuerabzug nur bei wirksamer Option zur Steuerpflicht</w:t>
            </w:r>
          </w:p>
        </w:tc>
      </w:tr>
    </w:tbl>
    <w:p>
      <w:pPr>
        <w:spacing w:before="240" w:after="80"/>
        <w:shd w:val="clear" w:color="auto" w:fill="FAF6EB"/>
        <w:ind w:left="57"/>
      </w:pPr>
      <w:r>
        <w:rPr>
          <w:rFonts w:ascii="Calibri" w:hAnsi="Calibri" w:eastAsia="Calibri"/>
          <w:b/>
          <w:color w:val="5C4A1F"/>
          <w:sz w:val="22"/>
        </w:rPr>
        <w:t>Zusatzaufgabe: Reflexion – Gesprächsführung</w:t>
      </w:r>
    </w:p>
    <w:p>
      <w:pPr>
        <w:spacing w:before="60" w:after="60"/>
        <w:jc w:val="both"/>
      </w:pPr>
      <w:r>
        <w:rPr>
          <w:rFonts w:ascii="Calibri" w:hAnsi="Calibri" w:eastAsia="Calibri"/>
          <w:b w:val="0"/>
          <w:sz w:val="20"/>
        </w:rPr>
        <w:t>Kommt ein fachlich versierter Vermieter (z. B. mit mehreren Objekten oder eigener Excel-Auswertung), sollte ich als Steuerfachangestellte/r strukturiert und präzise auftreten, Fachbegriffe wie AfA, Erhaltungsaufwand und Anlage V korrekt verwenden und gezielt nach fehlenden Objektunterlagen fragen. Wichtig ist, Prioritäten zu setzen: zuerst Objektstammdaten und AfA-Grundlagen, dann Einnahmen, danach Werbungskosten – und offene Punkte schriftlich festzuhalten. Fehlende Belege (Kaufvertrag, Zinsbescheinigung, Hausgeldabrechnung) fordere ich höflich, aber klar nach, damit Fristen und Vorauszahlungen nicht gefährdet werden.</w:t>
      </w:r>
    </w:p>
    <w:p>
      <w:pPr>
        <w:spacing w:before="60" w:after="60"/>
        <w:jc w:val="both"/>
      </w:pPr>
      <w:r>
        <w:rPr>
          <w:rFonts w:ascii="Calibri" w:hAnsi="Calibri" w:eastAsia="Calibri"/>
          <w:b w:val="0"/>
          <w:sz w:val="20"/>
        </w:rPr>
        <w:t>Bei einem unsicheren Privatvermieter mit nur einer Wohnung erkläre ich in einfachen Worten, welche Unterlage wofür nötig ist, und gehe die Checkliste Objekt für Objekt durch. Ich schaffe eine ruhige Atmosphäre, sortiere mitgebrachte Tüten und Ordner gemeinsam und vermeide den Eindruck, der Mandant habe „etwas falsch gemacht“. Konkrete nächste Schritte („Bitte bringen Sie bis Freitag den Kaufvertrag und die Zinsbescheinigung der Bank mit“) geben Sicherheit und stärken die Mandantenbeziehung.</w:t>
      </w:r>
    </w:p>
    <w:p>
      <w:pPr>
        <w:spacing w:before="200"/>
      </w:pPr>
      <w:r>
        <w:rPr>
          <w:rFonts w:ascii="Calibri" w:hAnsi="Calibri" w:eastAsia="Calibri"/>
          <w:b w:val="0"/>
          <w:i/>
          <w:color w:val="4A5568"/>
          <w:sz w:val="16"/>
        </w:rPr>
        <w:t>Hinweis: Checkliste speziell für Vermieter (VuV). Bei zusätzlicher Selbstständigkeit, Erbschaft oder Auslandsobjekten sind weitere Unterlagen erforderlich.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