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10a (Security Audit):</w:t>
      </w:r>
      <w:r>
        <w:rPr>
          <w:sz w:val="21"/>
        </w:rPr>
        <w:t xml:space="preserve"> Feature không đụng auth/payment/DB schema/dữ liệu nhạy cảm.</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 </w:t>
      </w:r>
      <w:r>
        <w:rPr>
          <w:b/>
          <w:sz w:val="21"/>
        </w:rPr>
        <w:t>Haiku 4.5</w:t>
      </w:r>
      <w:r>
        <w:rPr>
          <w:sz w:val="21"/>
        </w:rPr>
        <w:t xml:space="preserve"> dùng cho task cơ học có template theo §13.1b — không thay thế model mặc định của agent, chỉ downshift từng task cụ thể.</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