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Bước 10b ∥ Bước 11 (song song — cả hai cùng nhận code đã merge từ Bước 10,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 </w:t>
      </w:r>
      <w:r>
        <w:rPr>
          <w:b/>
          <w:sz w:val="21"/>
        </w:rPr>
        <w:t>Haiku 4.5</w:t>
      </w:r>
      <w:r>
        <w:rPr>
          <w:sz w:val="21"/>
        </w:rPr>
        <w:t xml:space="preserve"> dùng cho task cơ học có template theo §13.1b — không thay thế model mặc định của agent, chỉ downshift từng task cụ thể.</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before="40" w:after="40"/>
        <w:ind w:left="567"/>
        <w:pBdr>
          <w:left w:val="single" w:sz="12" w:space="10" w:color="F05922"/>
        </w:pBdr>
      </w:pPr>
      <w:r>
        <w:rPr>
          <w:color w:val="4A3F8C"/>
        </w:rPr>
        <w:t>Vì mỗi bước chạy trong subagent/trigger tách biệt (Bước 2a/2b), agent thực hiện bước N+1 KHÔNG thấy được lịch sử session của bước N. Nếu không ghi lại, bước sau sẽ phải tự đọc code, tự suy luận lại từ đầu — tốn thời gian và có thể suy luận SAI khác với bước trước.</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