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630AA" w14:textId="22BC5E6A" w:rsidR="000937F1" w:rsidRDefault="00737E62" w:rsidP="001C1AF3">
      <w:pPr>
        <w:pStyle w:val="Heading1"/>
        <w:jc w:val="center"/>
      </w:pPr>
      <w:r>
        <w:t>Network Topology and Water Balances</w:t>
      </w:r>
    </w:p>
    <w:p w14:paraId="7F9DBF12" w14:textId="6907E923" w:rsidR="00874D29" w:rsidRPr="00874D29" w:rsidRDefault="00874D29" w:rsidP="001C1AF3">
      <w:pPr>
        <w:jc w:val="center"/>
      </w:pPr>
      <w:r>
        <w:t>By Samuel Hutchinson</w:t>
      </w:r>
      <w:r w:rsidR="001C1AF3">
        <w:t>, December 2019</w:t>
      </w:r>
    </w:p>
    <w:p w14:paraId="5F55BBE1" w14:textId="6EE829C5" w:rsidR="003B466D" w:rsidRPr="001C1AF3" w:rsidRDefault="00AC702D" w:rsidP="003B466D">
      <w:pPr>
        <w:rPr>
          <w:sz w:val="20"/>
        </w:rPr>
      </w:pPr>
      <w:r>
        <w:rPr>
          <w:b/>
          <w:sz w:val="20"/>
        </w:rPr>
        <w:t>Introduction</w:t>
      </w:r>
      <w:r w:rsidR="001C1AF3">
        <w:rPr>
          <w:b/>
          <w:sz w:val="20"/>
        </w:rPr>
        <w:t xml:space="preserve">: </w:t>
      </w:r>
      <w:r>
        <w:rPr>
          <w:sz w:val="20"/>
        </w:rPr>
        <w:t xml:space="preserve">The Hydrology group wishes to analyse the network topology more specifically. </w:t>
      </w:r>
      <w:r w:rsidR="003B466D" w:rsidRPr="001C1AF3">
        <w:rPr>
          <w:sz w:val="20"/>
        </w:rPr>
        <w:t>This report summarises the processes of how the hydrology group have developed tools to</w:t>
      </w:r>
      <w:r>
        <w:rPr>
          <w:sz w:val="20"/>
        </w:rPr>
        <w:t xml:space="preserve"> generate relationships of branch topology and</w:t>
      </w:r>
      <w:r w:rsidR="003B466D" w:rsidRPr="001C1AF3">
        <w:rPr>
          <w:sz w:val="20"/>
        </w:rPr>
        <w:t xml:space="preserve"> calculate water balances </w:t>
      </w:r>
      <w:r w:rsidR="00593677" w:rsidRPr="001C1AF3">
        <w:rPr>
          <w:sz w:val="20"/>
        </w:rPr>
        <w:t>of</w:t>
      </w:r>
      <w:r w:rsidR="003B466D" w:rsidRPr="001C1AF3">
        <w:rPr>
          <w:sz w:val="20"/>
        </w:rPr>
        <w:t xml:space="preserve"> a pool</w:t>
      </w:r>
      <w:r w:rsidR="002F3F60" w:rsidRPr="001C1AF3">
        <w:rPr>
          <w:rStyle w:val="FootnoteReference"/>
          <w:sz w:val="20"/>
        </w:rPr>
        <w:footnoteReference w:id="1"/>
      </w:r>
      <w:r w:rsidR="003B466D" w:rsidRPr="001C1AF3">
        <w:rPr>
          <w:sz w:val="20"/>
        </w:rPr>
        <w:t xml:space="preserve"> in the water</w:t>
      </w:r>
      <w:r w:rsidR="00560AEB" w:rsidRPr="001C1AF3">
        <w:rPr>
          <w:sz w:val="20"/>
        </w:rPr>
        <w:t xml:space="preserve"> delivery</w:t>
      </w:r>
      <w:r w:rsidR="003B466D" w:rsidRPr="001C1AF3">
        <w:rPr>
          <w:sz w:val="20"/>
        </w:rPr>
        <w:t xml:space="preserve"> network. </w:t>
      </w:r>
      <w:r w:rsidR="00593677" w:rsidRPr="001C1AF3">
        <w:rPr>
          <w:sz w:val="20"/>
        </w:rPr>
        <w:t>This</w:t>
      </w:r>
      <w:r w:rsidR="003B466D" w:rsidRPr="001C1AF3">
        <w:rPr>
          <w:sz w:val="20"/>
        </w:rPr>
        <w:t xml:space="preserve"> ground up approach has</w:t>
      </w:r>
      <w:r w:rsidR="00565C35" w:rsidRPr="001C1AF3">
        <w:rPr>
          <w:sz w:val="20"/>
        </w:rPr>
        <w:t xml:space="preserve"> enabled </w:t>
      </w:r>
      <w:r w:rsidR="003B466D" w:rsidRPr="001C1AF3">
        <w:rPr>
          <w:sz w:val="20"/>
        </w:rPr>
        <w:t xml:space="preserve">the ability to audit the branch efficiency report </w:t>
      </w:r>
      <w:r w:rsidR="004E3D0A" w:rsidRPr="001C1AF3">
        <w:rPr>
          <w:sz w:val="20"/>
        </w:rPr>
        <w:t>that RUBICON can supply.</w:t>
      </w:r>
    </w:p>
    <w:p w14:paraId="77158392" w14:textId="77777777" w:rsidR="003B466D" w:rsidRDefault="003B466D" w:rsidP="003B466D">
      <w:pPr>
        <w:pStyle w:val="Heading2"/>
      </w:pPr>
      <w:r>
        <w:t>Generating topological awareness of pool</w:t>
      </w:r>
      <w:r w:rsidR="004E3D0A">
        <w:t>s</w:t>
      </w:r>
    </w:p>
    <w:p w14:paraId="0F657A45" w14:textId="3375990F" w:rsidR="003B466D" w:rsidRDefault="003B466D" w:rsidP="003B466D">
      <w:r>
        <w:t xml:space="preserve">To the extent that the hydrology team have investigated, </w:t>
      </w:r>
      <w:r w:rsidR="004E3D0A">
        <w:t>no</w:t>
      </w:r>
      <w:r>
        <w:t xml:space="preserve"> accurate and concise</w:t>
      </w:r>
      <w:r w:rsidR="004E3D0A">
        <w:t xml:space="preserve"> linkage between asset</w:t>
      </w:r>
      <w:r w:rsidR="002F3F60">
        <w:t xml:space="preserve">s </w:t>
      </w:r>
      <w:r w:rsidR="004E3D0A">
        <w:t>is available in a format easy to work with. If one wanted to understand the relationship between a meter on a property e.g. M1893/1 and its nearest regulator</w:t>
      </w:r>
      <w:r w:rsidR="00D74E15">
        <w:t xml:space="preserve"> (in this case Andre</w:t>
      </w:r>
      <w:r w:rsidR="00CE0E1F">
        <w:t>a</w:t>
      </w:r>
      <w:r w:rsidR="00D74E15">
        <w:t>ttas Reg.)</w:t>
      </w:r>
      <w:r w:rsidR="004E3D0A">
        <w:t xml:space="preserve">, one would have to look up that meter on network visualiser or MI maps and manually explore the relationship </w:t>
      </w:r>
      <w:r w:rsidR="00D74E15">
        <w:t xml:space="preserve">through laterals </w:t>
      </w:r>
      <w:r w:rsidR="004E3D0A">
        <w:t>to the nearest upstream regulator</w:t>
      </w:r>
      <w:r w:rsidR="00AC702D">
        <w:t>.</w:t>
      </w:r>
      <w:r w:rsidR="00D74E15">
        <w:t xml:space="preserve"> </w:t>
      </w:r>
      <w:r w:rsidR="00AC702D">
        <w:t xml:space="preserve">One would </w:t>
      </w:r>
      <w:r w:rsidR="00D74E15">
        <w:t>then find the object numbers</w:t>
      </w:r>
      <w:r w:rsidR="00D74E15">
        <w:rPr>
          <w:rStyle w:val="FootnoteReference"/>
        </w:rPr>
        <w:footnoteReference w:id="2"/>
      </w:r>
      <w:r w:rsidR="002C65B9">
        <w:t xml:space="preserve"> of each asset</w:t>
      </w:r>
      <w:r w:rsidR="00D74E15">
        <w:t xml:space="preserve"> to get the required data from </w:t>
      </w:r>
      <w:r w:rsidR="002C65B9">
        <w:t>a</w:t>
      </w:r>
      <w:r w:rsidR="00D74E15">
        <w:t xml:space="preserve"> production database,</w:t>
      </w:r>
      <w:r w:rsidR="002C65B9">
        <w:t xml:space="preserve"> e.g.</w:t>
      </w:r>
      <w:r w:rsidR="00D74E15">
        <w:t xml:space="preserve"> SC_EVENT_LOG</w:t>
      </w:r>
      <w:r w:rsidR="00AC702D">
        <w:t>. T</w:t>
      </w:r>
      <w:r w:rsidR="004E3D0A">
        <w:t>o find all the meters in an entire pool</w:t>
      </w:r>
      <w:r w:rsidR="00D74E15">
        <w:t xml:space="preserve"> it can easily be seen that this method does not</w:t>
      </w:r>
      <w:r w:rsidR="004E3D0A">
        <w:t xml:space="preserve"> </w:t>
      </w:r>
      <w:r w:rsidR="00D74E15">
        <w:t xml:space="preserve">scale. </w:t>
      </w:r>
    </w:p>
    <w:p w14:paraId="431050DA" w14:textId="35C0D74B" w:rsidR="00D74E15" w:rsidRDefault="00D74E15" w:rsidP="003B466D">
      <w:r>
        <w:t>A branch summary can be exported as a comma separated file (csv). This file contains information about a branch and the objects in that branch. Unfortunately, it lacks a lot of features. It does not link laterals to a pool, nor provide object</w:t>
      </w:r>
      <w:r w:rsidR="002C65B9">
        <w:t xml:space="preserve"> </w:t>
      </w:r>
      <w:r>
        <w:t>numbers</w:t>
      </w:r>
      <w:r w:rsidR="00560AEB">
        <w:t>,</w:t>
      </w:r>
      <w:r w:rsidR="002C65B9">
        <w:t xml:space="preserve"> and contains</w:t>
      </w:r>
      <w:r w:rsidR="002F3F60">
        <w:t xml:space="preserve"> many</w:t>
      </w:r>
      <w:r w:rsidR="002C65B9">
        <w:t xml:space="preserve"> inconsistencies.</w:t>
      </w:r>
      <w:r>
        <w:t xml:space="preserve"> By manually working through the csv</w:t>
      </w:r>
      <w:r w:rsidR="002C65B9">
        <w:t xml:space="preserve"> and comparing </w:t>
      </w:r>
      <w:r w:rsidR="001C1AF3">
        <w:t>with</w:t>
      </w:r>
      <w:r w:rsidR="002C65B9">
        <w:t xml:space="preserve"> network visualiser</w:t>
      </w:r>
      <w:r w:rsidR="001C1AF3">
        <w:t>,</w:t>
      </w:r>
      <w:r>
        <w:t xml:space="preserve"> the laterals </w:t>
      </w:r>
      <w:r w:rsidR="009B4264">
        <w:t>are</w:t>
      </w:r>
      <w:r>
        <w:t xml:space="preserve"> </w:t>
      </w:r>
      <w:proofErr w:type="gramStart"/>
      <w:r w:rsidR="002C65B9">
        <w:t>defined</w:t>
      </w:r>
      <w:proofErr w:type="gramEnd"/>
      <w:r w:rsidR="002C65B9">
        <w:t xml:space="preserve"> and inconsistencies removed. This csv is still not in a format to perform routine large searches on a branch to get data. </w:t>
      </w:r>
    </w:p>
    <w:p w14:paraId="63FAA657" w14:textId="0B8B52E6" w:rsidR="008D3543" w:rsidRDefault="002C65B9" w:rsidP="00593677">
      <w:r>
        <w:t xml:space="preserve">The next step is to parse through the csv and generate a more hierarchical link of all the topology in a branch. A program was written to do just this. It moves though the csv and builds up a structure of the network that makes links between any point in a branch and its upstream and downstream neighbours. </w:t>
      </w:r>
      <w:r w:rsidR="003178FA">
        <w:t>It</w:t>
      </w:r>
      <w:r w:rsidR="00AD39C3">
        <w:t xml:space="preserve"> </w:t>
      </w:r>
      <w:r w:rsidR="003178FA">
        <w:t>finds the object numbers of that asset</w:t>
      </w:r>
      <w:r w:rsidR="00AD39C3">
        <w:t xml:space="preserve"> and</w:t>
      </w:r>
      <w:r w:rsidR="00957B53">
        <w:t xml:space="preserve"> makes</w:t>
      </w:r>
      <w:r w:rsidR="00AD39C3">
        <w:t xml:space="preserve"> links in a table so that any relationship required for analysis can be easily extracted late</w:t>
      </w:r>
      <w:r w:rsidR="00560AEB">
        <w:t>r</w:t>
      </w:r>
      <w:r w:rsidR="00AD39C3">
        <w:t xml:space="preserve">. See </w:t>
      </w:r>
      <w:r w:rsidR="002F3F60">
        <w:t xml:space="preserve">example </w:t>
      </w:r>
      <w:r w:rsidR="00AD39C3">
        <w:t xml:space="preserve">output </w:t>
      </w:r>
      <w:r w:rsidR="00414802">
        <w:t xml:space="preserve">in </w:t>
      </w:r>
      <w:r w:rsidR="00414802">
        <w:fldChar w:fldCharType="begin"/>
      </w:r>
      <w:r w:rsidR="00414802">
        <w:instrText xml:space="preserve"> REF _Ref27079481 \h </w:instrText>
      </w:r>
      <w:r w:rsidR="00414802">
        <w:fldChar w:fldCharType="separate"/>
      </w:r>
      <w:r w:rsidR="00BE645E">
        <w:t xml:space="preserve">Table </w:t>
      </w:r>
      <w:r w:rsidR="00BE645E">
        <w:rPr>
          <w:noProof/>
        </w:rPr>
        <w:t>1</w:t>
      </w:r>
      <w:r w:rsidR="00414802">
        <w:fldChar w:fldCharType="end"/>
      </w:r>
      <w:r w:rsidR="00414802">
        <w:t xml:space="preserve"> </w:t>
      </w:r>
      <w:r w:rsidR="00AD39C3">
        <w:t>below.</w:t>
      </w:r>
      <w:r w:rsidR="008D3543">
        <w:t xml:space="preserve"> </w:t>
      </w:r>
      <w:r w:rsidR="00957B53">
        <w:t>Additional t</w:t>
      </w:r>
      <w:r w:rsidR="008D3543">
        <w:t>ools have been developed include methods for getting a list of object numbers between any</w:t>
      </w:r>
      <w:r w:rsidR="00957B53">
        <w:t xml:space="preserve"> </w:t>
      </w:r>
      <w:r w:rsidR="008D3543">
        <w:t>two points</w:t>
      </w:r>
      <w:r w:rsidR="00327F12">
        <w:t xml:space="preserve">, see RHS of </w:t>
      </w:r>
      <w:r w:rsidR="00327F12">
        <w:fldChar w:fldCharType="begin"/>
      </w:r>
      <w:r w:rsidR="00327F12">
        <w:instrText xml:space="preserve"> REF _Ref27079481 \h </w:instrText>
      </w:r>
      <w:r w:rsidR="00327F12">
        <w:fldChar w:fldCharType="separate"/>
      </w:r>
      <w:r w:rsidR="00BE645E">
        <w:t xml:space="preserve">Table </w:t>
      </w:r>
      <w:r w:rsidR="00BE645E">
        <w:rPr>
          <w:noProof/>
        </w:rPr>
        <w:t>1</w:t>
      </w:r>
      <w:r w:rsidR="00327F12">
        <w:fldChar w:fldCharType="end"/>
      </w:r>
      <w:r w:rsidR="00957B53">
        <w:t>.</w:t>
      </w:r>
    </w:p>
    <w:tbl>
      <w:tblPr>
        <w:tblStyle w:val="TableGrid"/>
        <w:tblW w:w="0" w:type="auto"/>
        <w:tblLook w:val="04A0" w:firstRow="1" w:lastRow="0" w:firstColumn="1" w:lastColumn="0" w:noHBand="0" w:noVBand="1"/>
      </w:tblPr>
      <w:tblGrid>
        <w:gridCol w:w="4770"/>
        <w:gridCol w:w="469"/>
        <w:gridCol w:w="3777"/>
      </w:tblGrid>
      <w:tr w:rsidR="003178FA" w14:paraId="3E8EC1DE" w14:textId="77777777" w:rsidTr="00593677">
        <w:tc>
          <w:tcPr>
            <w:tcW w:w="5245" w:type="dxa"/>
            <w:gridSpan w:val="2"/>
            <w:tcBorders>
              <w:top w:val="single" w:sz="4" w:space="0" w:color="auto"/>
              <w:left w:val="single" w:sz="4" w:space="0" w:color="auto"/>
              <w:bottom w:val="single" w:sz="4" w:space="0" w:color="auto"/>
              <w:right w:val="nil"/>
            </w:tcBorders>
          </w:tcPr>
          <w:p w14:paraId="21CC4E12"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Upstream objects…</w:t>
            </w:r>
          </w:p>
          <w:p w14:paraId="35DBC2AF"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 OVERS REGULATOR - Regulator (30840)</w:t>
            </w:r>
          </w:p>
          <w:p w14:paraId="4AC88B9D"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M2615A/1 - D/S Meter (67510)</w:t>
            </w:r>
          </w:p>
          <w:p w14:paraId="0AA0F049"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M2038/2 - D/S Meter (64930)</w:t>
            </w:r>
          </w:p>
          <w:p w14:paraId="5B2EE9B9"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N665/P - D/S Meter (70693)</w:t>
            </w:r>
          </w:p>
          <w:p w14:paraId="31C949CE"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M2615/D - D/S Meter (70048)</w:t>
            </w:r>
          </w:p>
          <w:p w14:paraId="12213762"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M2038C/1 - D/S Meter (64933)</w:t>
            </w:r>
          </w:p>
          <w:p w14:paraId="1F567263"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M1631H/1 - D/S Meter (67513)</w:t>
            </w:r>
          </w:p>
          <w:p w14:paraId="526EF3E4"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OT L185 - D/S Offtake (30862)</w:t>
            </w:r>
          </w:p>
          <w:p w14:paraId="058F46F3"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 M2038B/1 - D/S Meter (64936)</w:t>
            </w:r>
          </w:p>
          <w:p w14:paraId="64A198F0"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 M1997/2 - D/S Meter (64939)</w:t>
            </w:r>
          </w:p>
          <w:p w14:paraId="26752607"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 M1997/3 - D/S Meter (64942)</w:t>
            </w:r>
          </w:p>
          <w:p w14:paraId="7740912A"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 M1985/1 - D/S Meter (64954)</w:t>
            </w:r>
          </w:p>
          <w:p w14:paraId="030DE210"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 SV 185-1 - D/S Scour Valve (57141)</w:t>
            </w:r>
          </w:p>
          <w:p w14:paraId="46A61F35"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M1631D/1 - D/S Meter (68062)</w:t>
            </w:r>
          </w:p>
          <w:p w14:paraId="6E081237"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MC10 TEMPORALIS ESCAPE - D/S Escape (55372)</w:t>
            </w:r>
          </w:p>
          <w:p w14:paraId="46AFB048" w14:textId="77777777" w:rsidR="003178FA" w:rsidRPr="008D3543" w:rsidRDefault="003178FA" w:rsidP="002C65B9">
            <w:pPr>
              <w:pStyle w:val="NoSpacing"/>
              <w:ind w:left="-851"/>
              <w:rPr>
                <w:rFonts w:ascii="Courier New" w:hAnsi="Courier New" w:cs="Courier New"/>
                <w:sz w:val="14"/>
                <w:szCs w:val="14"/>
              </w:rPr>
            </w:pPr>
            <w:r w:rsidRPr="008D3543">
              <w:rPr>
                <w:rFonts w:ascii="Courier New" w:hAnsi="Courier New" w:cs="Courier New"/>
                <w:sz w:val="14"/>
                <w:szCs w:val="14"/>
              </w:rPr>
              <w:t xml:space="preserve">            └─── QUARY RD REGULATOR - Regulator (30868)</w:t>
            </w:r>
          </w:p>
          <w:p w14:paraId="5D0A8E00" w14:textId="77777777" w:rsidR="003178FA" w:rsidRPr="008D3543" w:rsidRDefault="003178FA" w:rsidP="003178FA">
            <w:pPr>
              <w:pStyle w:val="NoSpacing"/>
              <w:ind w:left="-851"/>
              <w:rPr>
                <w:rFonts w:ascii="Courier New" w:hAnsi="Courier New" w:cs="Courier New"/>
                <w:sz w:val="14"/>
                <w:szCs w:val="14"/>
              </w:rPr>
            </w:pPr>
            <w:r w:rsidRPr="008D3543">
              <w:rPr>
                <w:rFonts w:ascii="Courier New" w:hAnsi="Courier New" w:cs="Courier New"/>
                <w:sz w:val="14"/>
                <w:szCs w:val="14"/>
              </w:rPr>
              <w:t xml:space="preserve">                 └─── Downstream objects…</w:t>
            </w:r>
          </w:p>
        </w:tc>
        <w:tc>
          <w:tcPr>
            <w:tcW w:w="3781" w:type="dxa"/>
            <w:tcBorders>
              <w:top w:val="single" w:sz="4" w:space="0" w:color="auto"/>
              <w:left w:val="nil"/>
              <w:bottom w:val="single" w:sz="4" w:space="0" w:color="auto"/>
              <w:right w:val="single" w:sz="4" w:space="0" w:color="auto"/>
            </w:tcBorders>
          </w:tcPr>
          <w:p w14:paraId="78F679A7" w14:textId="77777777" w:rsidR="00AD39C3" w:rsidRPr="008D3543" w:rsidRDefault="00AD39C3" w:rsidP="003178FA">
            <w:pPr>
              <w:pStyle w:val="NoSpacing"/>
              <w:rPr>
                <w:rFonts w:ascii="Courier New" w:hAnsi="Courier New" w:cs="Courier New"/>
                <w:b/>
                <w:sz w:val="14"/>
                <w:szCs w:val="14"/>
              </w:rPr>
            </w:pPr>
            <w:proofErr w:type="gramStart"/>
            <w:r w:rsidRPr="008D3543">
              <w:rPr>
                <w:rFonts w:ascii="Courier New" w:hAnsi="Courier New" w:cs="Courier New"/>
                <w:b/>
                <w:sz w:val="14"/>
                <w:szCs w:val="14"/>
              </w:rPr>
              <w:t>OBJECT  LINK</w:t>
            </w:r>
            <w:proofErr w:type="gramEnd"/>
            <w:r w:rsidRPr="008D3543">
              <w:rPr>
                <w:rFonts w:ascii="Courier New" w:hAnsi="Courier New" w:cs="Courier New"/>
                <w:b/>
                <w:sz w:val="14"/>
                <w:szCs w:val="14"/>
              </w:rPr>
              <w:t xml:space="preserve">    </w:t>
            </w:r>
            <w:proofErr w:type="spellStart"/>
            <w:r w:rsidRPr="008D3543">
              <w:rPr>
                <w:rFonts w:ascii="Courier New" w:hAnsi="Courier New" w:cs="Courier New"/>
                <w:b/>
                <w:sz w:val="14"/>
                <w:szCs w:val="14"/>
              </w:rPr>
              <w:t>LINK</w:t>
            </w:r>
            <w:proofErr w:type="spellEnd"/>
            <w:r w:rsidRPr="008D3543">
              <w:rPr>
                <w:rFonts w:ascii="Courier New" w:hAnsi="Courier New" w:cs="Courier New"/>
                <w:b/>
                <w:sz w:val="14"/>
                <w:szCs w:val="14"/>
              </w:rPr>
              <w:t xml:space="preserve"> TYPE</w:t>
            </w:r>
          </w:p>
          <w:p w14:paraId="22A5EBD6" w14:textId="77777777" w:rsidR="00AD39C3" w:rsidRPr="008D3543" w:rsidRDefault="00AD39C3" w:rsidP="003178FA">
            <w:pPr>
              <w:pStyle w:val="NoSpacing"/>
              <w:rPr>
                <w:rFonts w:ascii="Courier New" w:hAnsi="Courier New" w:cs="Courier New"/>
                <w:sz w:val="14"/>
                <w:szCs w:val="14"/>
              </w:rPr>
            </w:pPr>
            <w:r w:rsidRPr="008D3543">
              <w:rPr>
                <w:rFonts w:ascii="Courier New" w:hAnsi="Courier New" w:cs="Courier New"/>
                <w:sz w:val="14"/>
                <w:szCs w:val="14"/>
              </w:rPr>
              <w:t>30822   30840   Regulator</w:t>
            </w:r>
          </w:p>
          <w:p w14:paraId="5255476F"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67510   D/S Meter</w:t>
            </w:r>
          </w:p>
          <w:p w14:paraId="2CA24D3C"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64930   D/S Meter</w:t>
            </w:r>
          </w:p>
          <w:p w14:paraId="6979BD74"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70693   D/S Meter</w:t>
            </w:r>
          </w:p>
          <w:p w14:paraId="7E65EFFE"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70048   D/S Meter</w:t>
            </w:r>
          </w:p>
          <w:p w14:paraId="27B4CFD9"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64933   D/S Meter</w:t>
            </w:r>
          </w:p>
          <w:p w14:paraId="5E9672F3"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67513   D/S Meter</w:t>
            </w:r>
          </w:p>
          <w:p w14:paraId="4CC4BA2E"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30862   64936   D/S Meter</w:t>
            </w:r>
          </w:p>
          <w:p w14:paraId="322751C0"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30862   64939   D/S Meter</w:t>
            </w:r>
          </w:p>
          <w:p w14:paraId="297800D4"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30862   64942   D/S Meter</w:t>
            </w:r>
          </w:p>
          <w:p w14:paraId="7BC482D4"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30862   64954   D/S Meter</w:t>
            </w:r>
          </w:p>
          <w:p w14:paraId="3CDBF999"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 xml:space="preserve">30862   57141  </w:t>
            </w:r>
            <w:r w:rsidR="00AD39C3" w:rsidRPr="008D3543">
              <w:rPr>
                <w:rFonts w:ascii="Courier New" w:hAnsi="Courier New" w:cs="Courier New"/>
                <w:sz w:val="14"/>
                <w:szCs w:val="14"/>
              </w:rPr>
              <w:t xml:space="preserve"> </w:t>
            </w:r>
            <w:r w:rsidRPr="008D3543">
              <w:rPr>
                <w:rFonts w:ascii="Courier New" w:hAnsi="Courier New" w:cs="Courier New"/>
                <w:sz w:val="14"/>
                <w:szCs w:val="14"/>
              </w:rPr>
              <w:t>D/S Scour Valve</w:t>
            </w:r>
          </w:p>
          <w:p w14:paraId="5E0342B7"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30862   D/S Offtake</w:t>
            </w:r>
          </w:p>
          <w:p w14:paraId="3E23420B"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68062   D/S Meter</w:t>
            </w:r>
          </w:p>
          <w:p w14:paraId="69A9787C" w14:textId="77777777" w:rsidR="003178FA" w:rsidRPr="008D3543" w:rsidRDefault="003178FA" w:rsidP="003178FA">
            <w:pPr>
              <w:pStyle w:val="NoSpacing"/>
              <w:rPr>
                <w:rFonts w:ascii="Courier New" w:hAnsi="Courier New" w:cs="Courier New"/>
                <w:sz w:val="14"/>
                <w:szCs w:val="14"/>
              </w:rPr>
            </w:pPr>
            <w:r w:rsidRPr="008D3543">
              <w:rPr>
                <w:rFonts w:ascii="Courier New" w:hAnsi="Courier New" w:cs="Courier New"/>
                <w:sz w:val="14"/>
                <w:szCs w:val="14"/>
              </w:rPr>
              <w:t>30840   55372   D/S Escape</w:t>
            </w:r>
          </w:p>
          <w:p w14:paraId="25801ABE" w14:textId="77777777" w:rsidR="003178FA" w:rsidRPr="008D3543" w:rsidRDefault="00AD39C3" w:rsidP="00AD39C3">
            <w:pPr>
              <w:pStyle w:val="NoSpacing"/>
              <w:rPr>
                <w:rFonts w:ascii="Courier New" w:hAnsi="Courier New" w:cs="Courier New"/>
                <w:sz w:val="14"/>
                <w:szCs w:val="14"/>
              </w:rPr>
            </w:pPr>
            <w:r w:rsidRPr="008D3543">
              <w:rPr>
                <w:rFonts w:ascii="Courier New" w:hAnsi="Courier New" w:cs="Courier New"/>
                <w:sz w:val="14"/>
                <w:szCs w:val="14"/>
              </w:rPr>
              <w:t>30840   30868   Regulator</w:t>
            </w:r>
          </w:p>
        </w:tc>
      </w:tr>
      <w:tr w:rsidR="003178FA" w14:paraId="32FE33CF" w14:textId="77777777" w:rsidTr="00593677">
        <w:tc>
          <w:tcPr>
            <w:tcW w:w="4775" w:type="dxa"/>
            <w:tcBorders>
              <w:top w:val="single" w:sz="4" w:space="0" w:color="auto"/>
              <w:left w:val="nil"/>
              <w:bottom w:val="nil"/>
              <w:right w:val="nil"/>
            </w:tcBorders>
          </w:tcPr>
          <w:p w14:paraId="05B02922" w14:textId="77777777" w:rsidR="003178FA" w:rsidRPr="003178FA" w:rsidRDefault="003178FA" w:rsidP="003178FA">
            <w:pPr>
              <w:pStyle w:val="NoSpacing"/>
              <w:rPr>
                <w:rFonts w:ascii="Courier New" w:hAnsi="Courier New" w:cs="Courier New"/>
                <w:sz w:val="18"/>
                <w:szCs w:val="18"/>
              </w:rPr>
            </w:pPr>
          </w:p>
        </w:tc>
        <w:tc>
          <w:tcPr>
            <w:tcW w:w="4251" w:type="dxa"/>
            <w:gridSpan w:val="2"/>
            <w:tcBorders>
              <w:top w:val="single" w:sz="4" w:space="0" w:color="auto"/>
              <w:left w:val="nil"/>
              <w:bottom w:val="nil"/>
              <w:right w:val="nil"/>
            </w:tcBorders>
          </w:tcPr>
          <w:p w14:paraId="5226BBC4" w14:textId="77777777" w:rsidR="003178FA" w:rsidRPr="003178FA" w:rsidRDefault="003178FA" w:rsidP="003178FA">
            <w:pPr>
              <w:pStyle w:val="NoSpacing"/>
              <w:rPr>
                <w:rFonts w:ascii="Courier New" w:hAnsi="Courier New" w:cs="Courier New"/>
                <w:sz w:val="18"/>
                <w:szCs w:val="18"/>
              </w:rPr>
            </w:pPr>
          </w:p>
        </w:tc>
      </w:tr>
    </w:tbl>
    <w:p w14:paraId="5D164B5D" w14:textId="63D21C7A" w:rsidR="00593677" w:rsidRDefault="00593677" w:rsidP="00593677">
      <w:pPr>
        <w:pStyle w:val="Caption"/>
      </w:pPr>
      <w:bookmarkStart w:id="0" w:name="_Ref27079481"/>
      <w:r>
        <w:t xml:space="preserve">Table </w:t>
      </w:r>
      <w:fldSimple w:instr=" SEQ Table \* ARABIC ">
        <w:r w:rsidR="00BE645E">
          <w:rPr>
            <w:noProof/>
          </w:rPr>
          <w:t>1</w:t>
        </w:r>
      </w:fldSimple>
      <w:bookmarkEnd w:id="0"/>
      <w:r>
        <w:t>:</w:t>
      </w:r>
      <w:r w:rsidRPr="00593677">
        <w:t xml:space="preserve"> </w:t>
      </w:r>
      <w:r>
        <w:t xml:space="preserve">This is an example output of the parsing program. </w:t>
      </w:r>
      <w:r w:rsidR="001C1AF3">
        <w:t>T</w:t>
      </w:r>
      <w:r>
        <w:t>he output has been truncated to</w:t>
      </w:r>
      <w:r w:rsidR="001C1AF3">
        <w:t xml:space="preserve"> only</w:t>
      </w:r>
      <w:r>
        <w:t xml:space="preserve"> visualise the relationships between Overs and Quarry Rd</w:t>
      </w:r>
      <w:r w:rsidR="002F3F60">
        <w:t xml:space="preserve"> in LVBC</w:t>
      </w:r>
      <w:r>
        <w:t>.</w:t>
      </w:r>
      <w:r w:rsidR="002F3F60">
        <w:t xml:space="preserve"> </w:t>
      </w:r>
      <w:r w:rsidR="002F3F60" w:rsidRPr="002F3F60">
        <w:rPr>
          <w:b/>
        </w:rPr>
        <w:t>NB</w:t>
      </w:r>
      <w:r w:rsidR="002F3F60">
        <w:t>:</w:t>
      </w:r>
      <w:r w:rsidR="008D3543">
        <w:t xml:space="preserve"> Object numbers in the topology are in brackets and </w:t>
      </w:r>
      <w:r w:rsidR="002F3F60">
        <w:t>D/S means downstream.</w:t>
      </w:r>
    </w:p>
    <w:p w14:paraId="3B560D58" w14:textId="0F1EFE31" w:rsidR="003B466D" w:rsidRDefault="003B466D" w:rsidP="003B466D">
      <w:pPr>
        <w:pStyle w:val="Heading2"/>
      </w:pPr>
      <w:r>
        <w:lastRenderedPageBreak/>
        <w:t>Working with metering data</w:t>
      </w:r>
    </w:p>
    <w:p w14:paraId="6F4ACBA6" w14:textId="64810313" w:rsidR="00593677" w:rsidRDefault="003C4CB8" w:rsidP="00593677">
      <w:r>
        <w:t>To generate the efficiency report</w:t>
      </w:r>
      <w:r w:rsidR="00894D7C">
        <w:t xml:space="preserve"> for a pool</w:t>
      </w:r>
      <w:r>
        <w:t>, t</w:t>
      </w:r>
      <w:r w:rsidR="002F3F60">
        <w:t xml:space="preserve">he water balance </w:t>
      </w:r>
      <w:r>
        <w:t>is calculate</w:t>
      </w:r>
      <w:r w:rsidR="00894D7C">
        <w:t>d</w:t>
      </w:r>
      <w:r w:rsidR="002F3F60">
        <w:t xml:space="preserve">. </w:t>
      </w:r>
      <w:r w:rsidR="00894D7C">
        <w:t xml:space="preserve">The inputs of the calculation are the flows in, delivered to, and out of the pool. </w:t>
      </w:r>
      <w:r w:rsidR="00327F12">
        <w:t>It calculates</w:t>
      </w:r>
      <w:r w:rsidR="00894D7C">
        <w:t xml:space="preserve"> the difference between the input and the output minus deliveries. In this study the water balance includes anything that can be measured, and excludes: evaporation, seepage, unmetered flows</w:t>
      </w:r>
      <w:r w:rsidR="00894D7C">
        <w:rPr>
          <w:rStyle w:val="FootnoteReference"/>
        </w:rPr>
        <w:footnoteReference w:id="3"/>
      </w:r>
      <w:r w:rsidR="00894D7C">
        <w:t>.</w:t>
      </w:r>
    </w:p>
    <w:p w14:paraId="2373819D" w14:textId="77777777" w:rsidR="002F3F60" w:rsidRPr="00593677" w:rsidRDefault="003C4CB8" w:rsidP="00593677">
      <w:r>
        <w:rPr>
          <w:noProof/>
        </w:rPr>
        <mc:AlternateContent>
          <mc:Choice Requires="wps">
            <w:drawing>
              <wp:anchor distT="0" distB="0" distL="114300" distR="114300" simplePos="0" relativeHeight="251668480" behindDoc="0" locked="0" layoutInCell="1" allowOverlap="1" wp14:anchorId="0DDD7C2C" wp14:editId="04F16853">
                <wp:simplePos x="0" y="0"/>
                <wp:positionH relativeFrom="column">
                  <wp:posOffset>191048</wp:posOffset>
                </wp:positionH>
                <wp:positionV relativeFrom="paragraph">
                  <wp:posOffset>212090</wp:posOffset>
                </wp:positionV>
                <wp:extent cx="857250" cy="269240"/>
                <wp:effectExtent l="0" t="0" r="19050" b="16510"/>
                <wp:wrapNone/>
                <wp:docPr id="8" name="Text Box 8"/>
                <wp:cNvGraphicFramePr/>
                <a:graphic xmlns:a="http://schemas.openxmlformats.org/drawingml/2006/main">
                  <a:graphicData uri="http://schemas.microsoft.com/office/word/2010/wordprocessingShape">
                    <wps:wsp>
                      <wps:cNvSpPr txBox="1"/>
                      <wps:spPr>
                        <a:xfrm>
                          <a:off x="0" y="0"/>
                          <a:ext cx="857250" cy="269240"/>
                        </a:xfrm>
                        <a:prstGeom prst="rect">
                          <a:avLst/>
                        </a:prstGeom>
                        <a:solidFill>
                          <a:schemeClr val="lt1"/>
                        </a:solidFill>
                        <a:ln w="6350">
                          <a:solidFill>
                            <a:prstClr val="black"/>
                          </a:solidFill>
                        </a:ln>
                      </wps:spPr>
                      <wps:txbx>
                        <w:txbxContent>
                          <w:p w14:paraId="0B26543F" w14:textId="77777777" w:rsidR="00A94CB7" w:rsidRDefault="00A94CB7">
                            <w:r>
                              <w:t>VOLUME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DD7C2C" id="_x0000_t202" coordsize="21600,21600" o:spt="202" path="m,l,21600r21600,l21600,xe">
                <v:stroke joinstyle="miter"/>
                <v:path gradientshapeok="t" o:connecttype="rect"/>
              </v:shapetype>
              <v:shape id="Text Box 8" o:spid="_x0000_s1026" type="#_x0000_t202" style="position:absolute;margin-left:15.05pt;margin-top:16.7pt;width:67.5pt;height:2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" fillcolor="white [3201]" strokeweight=".5pt">
                <v:textbox>
                  <w:txbxContent>
                    <w:p w14:paraId="0B26543F" w14:textId="77777777" w:rsidR="00A94CB7" w:rsidRDefault="00A94CB7">
                      <w:r>
                        <w:t>VOLUME IN</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73639F6" wp14:editId="465A362F">
                <wp:simplePos x="0" y="0"/>
                <wp:positionH relativeFrom="column">
                  <wp:posOffset>3981537</wp:posOffset>
                </wp:positionH>
                <wp:positionV relativeFrom="paragraph">
                  <wp:posOffset>235585</wp:posOffset>
                </wp:positionV>
                <wp:extent cx="1002082" cy="269240"/>
                <wp:effectExtent l="0" t="0" r="26670" b="16510"/>
                <wp:wrapNone/>
                <wp:docPr id="9" name="Text Box 9"/>
                <wp:cNvGraphicFramePr/>
                <a:graphic xmlns:a="http://schemas.openxmlformats.org/drawingml/2006/main">
                  <a:graphicData uri="http://schemas.microsoft.com/office/word/2010/wordprocessingShape">
                    <wps:wsp>
                      <wps:cNvSpPr txBox="1"/>
                      <wps:spPr>
                        <a:xfrm>
                          <a:off x="0" y="0"/>
                          <a:ext cx="1002082" cy="269240"/>
                        </a:xfrm>
                        <a:prstGeom prst="rect">
                          <a:avLst/>
                        </a:prstGeom>
                        <a:solidFill>
                          <a:schemeClr val="lt1"/>
                        </a:solidFill>
                        <a:ln w="6350">
                          <a:solidFill>
                            <a:prstClr val="black"/>
                          </a:solidFill>
                        </a:ln>
                      </wps:spPr>
                      <wps:txbx>
                        <w:txbxContent>
                          <w:p w14:paraId="72B4164E" w14:textId="77777777" w:rsidR="00A94CB7" w:rsidRDefault="00A94CB7" w:rsidP="003C4CB8">
                            <w:r>
                              <w:t>VOLUME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639F6" id="Text Box 9" o:spid="_x0000_s1027" type="#_x0000_t202" style="position:absolute;margin-left:313.5pt;margin-top:18.55pt;width:78.9pt;height:2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" fillcolor="white [3201]" strokeweight=".5pt">
                <v:textbox>
                  <w:txbxContent>
                    <w:p w14:paraId="72B4164E" w14:textId="77777777" w:rsidR="00A94CB7" w:rsidRDefault="00A94CB7" w:rsidP="003C4CB8">
                      <w:r>
                        <w:t>VOLUME OUT</w:t>
                      </w:r>
                    </w:p>
                  </w:txbxContent>
                </v:textbox>
              </v:shape>
            </w:pict>
          </mc:Fallback>
        </mc:AlternateContent>
      </w:r>
      <w:r w:rsidR="002F3F60">
        <w:rPr>
          <w:noProof/>
        </w:rPr>
        <mc:AlternateContent>
          <mc:Choice Requires="wps">
            <w:drawing>
              <wp:anchor distT="0" distB="0" distL="114300" distR="114300" simplePos="0" relativeHeight="251659264" behindDoc="0" locked="0" layoutInCell="1" allowOverlap="1" wp14:anchorId="17E0B445" wp14:editId="227088C5">
                <wp:simplePos x="0" y="0"/>
                <wp:positionH relativeFrom="column">
                  <wp:posOffset>1233170</wp:posOffset>
                </wp:positionH>
                <wp:positionV relativeFrom="paragraph">
                  <wp:posOffset>111551</wp:posOffset>
                </wp:positionV>
                <wp:extent cx="2686833" cy="889348"/>
                <wp:effectExtent l="0" t="0" r="18415" b="25400"/>
                <wp:wrapNone/>
                <wp:docPr id="2" name="Oval 2"/>
                <wp:cNvGraphicFramePr/>
                <a:graphic xmlns:a="http://schemas.openxmlformats.org/drawingml/2006/main">
                  <a:graphicData uri="http://schemas.microsoft.com/office/word/2010/wordprocessingShape">
                    <wps:wsp>
                      <wps:cNvSpPr/>
                      <wps:spPr>
                        <a:xfrm>
                          <a:off x="0" y="0"/>
                          <a:ext cx="2686833" cy="88934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AF0442" w14:textId="77777777" w:rsidR="00A94CB7" w:rsidRDefault="00A94CB7" w:rsidP="003C4CB8">
                            <w:pPr>
                              <w:jc w:val="center"/>
                            </w:pPr>
                            <w:r>
                              <w:t>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E0B445" id="Oval 2" o:spid="_x0000_s1028" style="position:absolute;margin-left:97.1pt;margin-top:8.8pt;width:211.55pt;height:7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" fillcolor="#4a66ac [3204]" strokecolor="#243255 [1604]" strokeweight="1pt">
                <v:stroke joinstyle="miter"/>
                <v:textbox>
                  <w:txbxContent>
                    <w:p w14:paraId="4BAF0442" w14:textId="77777777" w:rsidR="00A94CB7" w:rsidRDefault="00A94CB7" w:rsidP="003C4CB8">
                      <w:pPr>
                        <w:jc w:val="center"/>
                      </w:pPr>
                      <w:r>
                        <w:t>Pool</w:t>
                      </w:r>
                    </w:p>
                  </w:txbxContent>
                </v:textbox>
              </v:oval>
            </w:pict>
          </mc:Fallback>
        </mc:AlternateContent>
      </w:r>
    </w:p>
    <w:p w14:paraId="21402380" w14:textId="77777777" w:rsidR="003B466D" w:rsidRDefault="003C4CB8" w:rsidP="003B466D">
      <w:r>
        <w:rPr>
          <w:noProof/>
        </w:rPr>
        <mc:AlternateContent>
          <mc:Choice Requires="wps">
            <w:drawing>
              <wp:anchor distT="0" distB="0" distL="114300" distR="114300" simplePos="0" relativeHeight="251662336" behindDoc="0" locked="0" layoutInCell="1" allowOverlap="1" wp14:anchorId="523BAEE7" wp14:editId="56B1BCBE">
                <wp:simplePos x="0" y="0"/>
                <wp:positionH relativeFrom="margin">
                  <wp:posOffset>3903345</wp:posOffset>
                </wp:positionH>
                <wp:positionV relativeFrom="paragraph">
                  <wp:posOffset>238673</wp:posOffset>
                </wp:positionV>
                <wp:extent cx="1246340" cy="137787"/>
                <wp:effectExtent l="0" t="19050" r="30480" b="34290"/>
                <wp:wrapNone/>
                <wp:docPr id="4" name="Arrow: Right 4"/>
                <wp:cNvGraphicFramePr/>
                <a:graphic xmlns:a="http://schemas.openxmlformats.org/drawingml/2006/main">
                  <a:graphicData uri="http://schemas.microsoft.com/office/word/2010/wordprocessingShape">
                    <wps:wsp>
                      <wps:cNvSpPr/>
                      <wps:spPr>
                        <a:xfrm>
                          <a:off x="0" y="0"/>
                          <a:ext cx="1246340" cy="13778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03325C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307.35pt;margin-top:18.8pt;width:98.15pt;height:10.8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" adj="20406" fillcolor="#4a66ac [3204]" strokecolor="#243255 [1604]" strokeweight="1pt">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7BA2A348" wp14:editId="295EEE54">
                <wp:simplePos x="0" y="0"/>
                <wp:positionH relativeFrom="margin">
                  <wp:align>left</wp:align>
                </wp:positionH>
                <wp:positionV relativeFrom="paragraph">
                  <wp:posOffset>214491</wp:posOffset>
                </wp:positionV>
                <wp:extent cx="1246340" cy="137787"/>
                <wp:effectExtent l="0" t="19050" r="30480" b="34290"/>
                <wp:wrapNone/>
                <wp:docPr id="3" name="Arrow: Right 3"/>
                <wp:cNvGraphicFramePr/>
                <a:graphic xmlns:a="http://schemas.openxmlformats.org/drawingml/2006/main">
                  <a:graphicData uri="http://schemas.microsoft.com/office/word/2010/wordprocessingShape">
                    <wps:wsp>
                      <wps:cNvSpPr/>
                      <wps:spPr>
                        <a:xfrm>
                          <a:off x="0" y="0"/>
                          <a:ext cx="1246340" cy="13778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623607" w14:textId="77777777" w:rsidR="00A94CB7" w:rsidRPr="003C4CB8" w:rsidRDefault="00A94CB7" w:rsidP="003C4CB8">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A2A348" id="Arrow: Right 3" o:spid="_x0000_s1029" type="#_x0000_t13" style="position:absolute;margin-left:0;margin-top:16.9pt;width:98.15pt;height:10.8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" adj="20406" fillcolor="#4a66ac [3204]" strokecolor="#243255 [1604]" strokeweight="1pt">
                <v:textbox>
                  <w:txbxContent>
                    <w:p w14:paraId="70623607" w14:textId="77777777" w:rsidR="00A94CB7" w:rsidRPr="003C4CB8" w:rsidRDefault="00A94CB7" w:rsidP="003C4CB8">
                      <w:pPr>
                        <w:rPr>
                          <w:color w:val="000000" w:themeColor="text1"/>
                        </w:rPr>
                      </w:pPr>
                    </w:p>
                  </w:txbxContent>
                </v:textbox>
                <w10:wrap anchorx="margin"/>
              </v:shape>
            </w:pict>
          </mc:Fallback>
        </mc:AlternateContent>
      </w:r>
    </w:p>
    <w:p w14:paraId="349EB992" w14:textId="77777777" w:rsidR="002F3F60" w:rsidRDefault="002F3F60" w:rsidP="003B466D">
      <w:pPr>
        <w:pStyle w:val="Heading2"/>
      </w:pPr>
    </w:p>
    <w:p w14:paraId="4841E83C" w14:textId="77777777" w:rsidR="002F3F60" w:rsidRDefault="003C4CB8" w:rsidP="003B466D">
      <w:pPr>
        <w:pStyle w:val="Heading2"/>
      </w:pPr>
      <w:r>
        <w:rPr>
          <w:noProof/>
        </w:rPr>
        <mc:AlternateContent>
          <mc:Choice Requires="wps">
            <w:drawing>
              <wp:anchor distT="0" distB="0" distL="114300" distR="114300" simplePos="0" relativeHeight="251673600" behindDoc="0" locked="0" layoutInCell="1" allowOverlap="1" wp14:anchorId="39E9D905" wp14:editId="5B3759C0">
                <wp:simplePos x="0" y="0"/>
                <wp:positionH relativeFrom="column">
                  <wp:posOffset>1173926</wp:posOffset>
                </wp:positionH>
                <wp:positionV relativeFrom="paragraph">
                  <wp:posOffset>237065</wp:posOffset>
                </wp:positionV>
                <wp:extent cx="652582" cy="123079"/>
                <wp:effectExtent l="0" t="209550" r="0" b="182245"/>
                <wp:wrapNone/>
                <wp:docPr id="11" name="Arrow: Left 11"/>
                <wp:cNvGraphicFramePr/>
                <a:graphic xmlns:a="http://schemas.openxmlformats.org/drawingml/2006/main">
                  <a:graphicData uri="http://schemas.microsoft.com/office/word/2010/wordprocessingShape">
                    <wps:wsp>
                      <wps:cNvSpPr/>
                      <wps:spPr>
                        <a:xfrm rot="18984340">
                          <a:off x="0" y="0"/>
                          <a:ext cx="652582" cy="12307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A855F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1" o:spid="_x0000_s1026" type="#_x0000_t66" style="position:absolute;margin-left:92.45pt;margin-top:18.65pt;width:51.4pt;height:9.7pt;rotation:-2856998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" adj="2037" fillcolor="#4a66ac [3204]" strokecolor="#243255 [1604]" strokeweight="1pt"/>
            </w:pict>
          </mc:Fallback>
        </mc:AlternateContent>
      </w:r>
      <w:r>
        <w:rPr>
          <w:noProof/>
        </w:rPr>
        <mc:AlternateContent>
          <mc:Choice Requires="wps">
            <w:drawing>
              <wp:anchor distT="0" distB="0" distL="114300" distR="114300" simplePos="0" relativeHeight="251672576" behindDoc="0" locked="0" layoutInCell="1" allowOverlap="1" wp14:anchorId="757AF8C8" wp14:editId="09A70F4A">
                <wp:simplePos x="0" y="0"/>
                <wp:positionH relativeFrom="column">
                  <wp:posOffset>3982859</wp:posOffset>
                </wp:positionH>
                <wp:positionV relativeFrom="paragraph">
                  <wp:posOffset>106071</wp:posOffset>
                </wp:positionV>
                <wp:extent cx="1352810" cy="645090"/>
                <wp:effectExtent l="0" t="0" r="19050" b="22225"/>
                <wp:wrapNone/>
                <wp:docPr id="10" name="Text Box 10"/>
                <wp:cNvGraphicFramePr/>
                <a:graphic xmlns:a="http://schemas.openxmlformats.org/drawingml/2006/main">
                  <a:graphicData uri="http://schemas.microsoft.com/office/word/2010/wordprocessingShape">
                    <wps:wsp>
                      <wps:cNvSpPr txBox="1"/>
                      <wps:spPr>
                        <a:xfrm>
                          <a:off x="0" y="0"/>
                          <a:ext cx="1352810" cy="645090"/>
                        </a:xfrm>
                        <a:prstGeom prst="rect">
                          <a:avLst/>
                        </a:prstGeom>
                        <a:solidFill>
                          <a:schemeClr val="lt1"/>
                        </a:solidFill>
                        <a:ln w="6350">
                          <a:solidFill>
                            <a:prstClr val="black"/>
                          </a:solidFill>
                        </a:ln>
                      </wps:spPr>
                      <wps:txbx>
                        <w:txbxContent>
                          <w:p w14:paraId="08085679" w14:textId="77777777" w:rsidR="00A94CB7" w:rsidRDefault="00A94CB7" w:rsidP="003C4CB8">
                            <w:r>
                              <w:t>unmetered flows,</w:t>
                            </w:r>
                            <w:r>
                              <w:br/>
                              <w:t>evaporation</w:t>
                            </w:r>
                            <w:r>
                              <w:br/>
                              <w:t>seepage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AF8C8" id="Text Box 10" o:spid="_x0000_s1030" type="#_x0000_t202" style="position:absolute;margin-left:313.6pt;margin-top:8.35pt;width:106.5pt;height:5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" fillcolor="white [3201]" strokeweight=".5pt">
                <v:textbox>
                  <w:txbxContent>
                    <w:p w14:paraId="08085679" w14:textId="77777777" w:rsidR="00A94CB7" w:rsidRDefault="00A94CB7" w:rsidP="003C4CB8">
                      <w:r>
                        <w:t>unmetered flows,</w:t>
                      </w:r>
                      <w:r>
                        <w:br/>
                        <w:t>evaporation</w:t>
                      </w:r>
                      <w:r>
                        <w:br/>
                        <w:t>seepage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9023C75" wp14:editId="15D645A6">
                <wp:simplePos x="0" y="0"/>
                <wp:positionH relativeFrom="column">
                  <wp:posOffset>3327722</wp:posOffset>
                </wp:positionH>
                <wp:positionV relativeFrom="paragraph">
                  <wp:posOffset>7950</wp:posOffset>
                </wp:positionV>
                <wp:extent cx="613775" cy="394570"/>
                <wp:effectExtent l="0" t="0" r="53340" b="81915"/>
                <wp:wrapNone/>
                <wp:docPr id="7" name="Connector: Curved 7"/>
                <wp:cNvGraphicFramePr/>
                <a:graphic xmlns:a="http://schemas.openxmlformats.org/drawingml/2006/main">
                  <a:graphicData uri="http://schemas.microsoft.com/office/word/2010/wordprocessingShape">
                    <wps:wsp>
                      <wps:cNvCnPr/>
                      <wps:spPr>
                        <a:xfrm>
                          <a:off x="0" y="0"/>
                          <a:ext cx="613775" cy="39457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05B56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7" o:spid="_x0000_s1026" type="#_x0000_t38" style="position:absolute;margin-left:262.05pt;margin-top:.65pt;width:48.35pt;height:3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" adj="10800" strokecolor="#4a66ac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583AAF6B" wp14:editId="5E688BF6">
                <wp:simplePos x="0" y="0"/>
                <wp:positionH relativeFrom="column">
                  <wp:posOffset>3245807</wp:posOffset>
                </wp:positionH>
                <wp:positionV relativeFrom="paragraph">
                  <wp:posOffset>63830</wp:posOffset>
                </wp:positionV>
                <wp:extent cx="613775" cy="394570"/>
                <wp:effectExtent l="0" t="0" r="53340" b="81915"/>
                <wp:wrapNone/>
                <wp:docPr id="6" name="Connector: Curved 6"/>
                <wp:cNvGraphicFramePr/>
                <a:graphic xmlns:a="http://schemas.openxmlformats.org/drawingml/2006/main">
                  <a:graphicData uri="http://schemas.microsoft.com/office/word/2010/wordprocessingShape">
                    <wps:wsp>
                      <wps:cNvCnPr/>
                      <wps:spPr>
                        <a:xfrm>
                          <a:off x="0" y="0"/>
                          <a:ext cx="613775" cy="39457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E8BE19" id="Connector: Curved 6" o:spid="_x0000_s1026" type="#_x0000_t38" style="position:absolute;margin-left:255.6pt;margin-top:5.05pt;width:48.35pt;height:3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" adj="10800" strokecolor="#4a66ac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BCE5260" wp14:editId="653B304C">
                <wp:simplePos x="0" y="0"/>
                <wp:positionH relativeFrom="column">
                  <wp:posOffset>3162822</wp:posOffset>
                </wp:positionH>
                <wp:positionV relativeFrom="paragraph">
                  <wp:posOffset>118632</wp:posOffset>
                </wp:positionV>
                <wp:extent cx="613775" cy="394570"/>
                <wp:effectExtent l="0" t="0" r="53340" b="81915"/>
                <wp:wrapNone/>
                <wp:docPr id="5" name="Connector: Curved 5"/>
                <wp:cNvGraphicFramePr/>
                <a:graphic xmlns:a="http://schemas.openxmlformats.org/drawingml/2006/main">
                  <a:graphicData uri="http://schemas.microsoft.com/office/word/2010/wordprocessingShape">
                    <wps:wsp>
                      <wps:cNvCnPr/>
                      <wps:spPr>
                        <a:xfrm>
                          <a:off x="0" y="0"/>
                          <a:ext cx="613775" cy="39457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3B88BE" id="Connector: Curved 5" o:spid="_x0000_s1026" type="#_x0000_t38" style="position:absolute;margin-left:249.05pt;margin-top:9.35pt;width:48.35pt;height:3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" adj="10800" strokecolor="#4a66ac [3204]" strokeweight=".5pt">
                <v:stroke endarrow="block" joinstyle="miter"/>
              </v:shape>
            </w:pict>
          </mc:Fallback>
        </mc:AlternateContent>
      </w:r>
    </w:p>
    <w:p w14:paraId="2377299A" w14:textId="77777777" w:rsidR="002F3F60" w:rsidRDefault="002F3F60" w:rsidP="003B466D">
      <w:pPr>
        <w:pStyle w:val="Heading2"/>
      </w:pPr>
    </w:p>
    <w:p w14:paraId="2D83D0B0" w14:textId="77777777" w:rsidR="003C4CB8" w:rsidRDefault="003C4CB8" w:rsidP="003B466D">
      <w:pPr>
        <w:pStyle w:val="Heading2"/>
      </w:pPr>
      <w:r>
        <w:rPr>
          <w:noProof/>
        </w:rPr>
        <mc:AlternateContent>
          <mc:Choice Requires="wps">
            <w:drawing>
              <wp:anchor distT="0" distB="0" distL="114300" distR="114300" simplePos="0" relativeHeight="251675648" behindDoc="0" locked="0" layoutInCell="1" allowOverlap="1" wp14:anchorId="5467760C" wp14:editId="20289762">
                <wp:simplePos x="0" y="0"/>
                <wp:positionH relativeFrom="column">
                  <wp:posOffset>319118</wp:posOffset>
                </wp:positionH>
                <wp:positionV relativeFrom="paragraph">
                  <wp:posOffset>78553</wp:posOffset>
                </wp:positionV>
                <wp:extent cx="1308970" cy="269309"/>
                <wp:effectExtent l="0" t="0" r="24765" b="16510"/>
                <wp:wrapNone/>
                <wp:docPr id="12" name="Text Box 12"/>
                <wp:cNvGraphicFramePr/>
                <a:graphic xmlns:a="http://schemas.openxmlformats.org/drawingml/2006/main">
                  <a:graphicData uri="http://schemas.microsoft.com/office/word/2010/wordprocessingShape">
                    <wps:wsp>
                      <wps:cNvSpPr txBox="1"/>
                      <wps:spPr>
                        <a:xfrm>
                          <a:off x="0" y="0"/>
                          <a:ext cx="1308970" cy="269309"/>
                        </a:xfrm>
                        <a:prstGeom prst="rect">
                          <a:avLst/>
                        </a:prstGeom>
                        <a:solidFill>
                          <a:schemeClr val="lt1"/>
                        </a:solidFill>
                        <a:ln w="6350">
                          <a:solidFill>
                            <a:prstClr val="black"/>
                          </a:solidFill>
                        </a:ln>
                      </wps:spPr>
                      <wps:txbx>
                        <w:txbxContent>
                          <w:p w14:paraId="2A5A0216" w14:textId="77777777" w:rsidR="00A94CB7" w:rsidRDefault="00A94CB7" w:rsidP="003C4CB8">
                            <w:r>
                              <w:t>metered deliveries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7760C" id="Text Box 12" o:spid="_x0000_s1031" type="#_x0000_t202" style="position:absolute;margin-left:25.15pt;margin-top:6.2pt;width:103.05pt;height:2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" fillcolor="white [3201]" strokeweight=".5pt">
                <v:textbox>
                  <w:txbxContent>
                    <w:p w14:paraId="2A5A0216" w14:textId="77777777" w:rsidR="00A94CB7" w:rsidRDefault="00A94CB7" w:rsidP="003C4CB8">
                      <w:r>
                        <w:t>metered deliveries</w:t>
                      </w:r>
                    </w:p>
                  </w:txbxContent>
                </v:textbox>
              </v:shape>
            </w:pict>
          </mc:Fallback>
        </mc:AlternateContent>
      </w:r>
    </w:p>
    <w:p w14:paraId="34E9BE50" w14:textId="77777777" w:rsidR="003C4CB8" w:rsidRDefault="003C4CB8" w:rsidP="003B466D">
      <w:pPr>
        <w:pStyle w:val="Heading2"/>
      </w:pPr>
    </w:p>
    <w:p w14:paraId="0636DCC1" w14:textId="6D3AF180" w:rsidR="003C4CB8" w:rsidRDefault="00894D7C" w:rsidP="00894D7C">
      <w:r>
        <w:t xml:space="preserve">This study explored two sources for water volumes in the balance calculation. The first source described is calculating the numerical integral of the flow of water through a certain </w:t>
      </w:r>
      <w:r w:rsidR="00CE0E1F">
        <w:t>meter</w:t>
      </w:r>
      <w:r>
        <w:t xml:space="preserve"> over time. The second uses the total volume accumulated as calculated by the RTU</w:t>
      </w:r>
      <w:r w:rsidR="008A06D8">
        <w:rPr>
          <w:rStyle w:val="FootnoteReference"/>
        </w:rPr>
        <w:footnoteReference w:id="4"/>
      </w:r>
      <w:r>
        <w:t xml:space="preserve"> at the gate and periodically sent to the production database. </w:t>
      </w:r>
    </w:p>
    <w:p w14:paraId="01BF9BDA" w14:textId="1A5894C6" w:rsidR="008D3543" w:rsidRDefault="007C6922" w:rsidP="008D3543">
      <w:pPr>
        <w:pStyle w:val="Heading3"/>
      </w:pPr>
      <w:r>
        <w:t>Volume from n</w:t>
      </w:r>
      <w:r w:rsidR="008D3543">
        <w:t>umerical integration of flows</w:t>
      </w:r>
    </w:p>
    <w:p w14:paraId="2ECAB577" w14:textId="04D2223C" w:rsidR="00957B53" w:rsidRDefault="00957B53" w:rsidP="008D3543">
      <w:r>
        <w:rPr>
          <w:noProof/>
        </w:rPr>
        <mc:AlternateContent>
          <mc:Choice Requires="wps">
            <w:drawing>
              <wp:anchor distT="0" distB="0" distL="114300" distR="114300" simplePos="0" relativeHeight="251678720" behindDoc="0" locked="0" layoutInCell="1" allowOverlap="1" wp14:anchorId="08A4D044" wp14:editId="35D6669E">
                <wp:simplePos x="0" y="0"/>
                <wp:positionH relativeFrom="margin">
                  <wp:posOffset>268605</wp:posOffset>
                </wp:positionH>
                <wp:positionV relativeFrom="paragraph">
                  <wp:posOffset>3703320</wp:posOffset>
                </wp:positionV>
                <wp:extent cx="5116195" cy="635"/>
                <wp:effectExtent l="0" t="0" r="8255" b="0"/>
                <wp:wrapTopAndBottom/>
                <wp:docPr id="1" name="Text Box 1"/>
                <wp:cNvGraphicFramePr/>
                <a:graphic xmlns:a="http://schemas.openxmlformats.org/drawingml/2006/main">
                  <a:graphicData uri="http://schemas.microsoft.com/office/word/2010/wordprocessingShape">
                    <wps:wsp>
                      <wps:cNvSpPr txBox="1"/>
                      <wps:spPr>
                        <a:xfrm>
                          <a:off x="0" y="0"/>
                          <a:ext cx="5116195" cy="635"/>
                        </a:xfrm>
                        <a:prstGeom prst="rect">
                          <a:avLst/>
                        </a:prstGeom>
                        <a:solidFill>
                          <a:prstClr val="white"/>
                        </a:solidFill>
                        <a:ln>
                          <a:noFill/>
                        </a:ln>
                      </wps:spPr>
                      <wps:txbx>
                        <w:txbxContent>
                          <w:p w14:paraId="02BCF8F5" w14:textId="0A2B02B9" w:rsidR="00A94CB7" w:rsidRPr="008D65CD" w:rsidRDefault="00A94CB7" w:rsidP="008D3543">
                            <w:pPr>
                              <w:pStyle w:val="Caption"/>
                            </w:pPr>
                            <w:bookmarkStart w:id="1" w:name="_Ref27079059"/>
                            <w:r>
                              <w:t xml:space="preserve">Figure </w:t>
                            </w:r>
                            <w:fldSimple w:instr=" SEQ Figure \* ARABIC ">
                              <w:r w:rsidR="00BE645E">
                                <w:rPr>
                                  <w:noProof/>
                                </w:rPr>
                                <w:t>1</w:t>
                              </w:r>
                            </w:fldSimple>
                            <w:bookmarkEnd w:id="1"/>
                            <w:r>
                              <w:t>: Flow data for all meters within the Andreattas pool over a period of a month. Object numbers are cited. The upper sub-plot is of branch regulators IN and OUT of the pool (Andreattas and Jones respectively). The lower sub-plot is the flow rates of the meters with the pool.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A4D044" id="Text Box 1" o:spid="_x0000_s1032" type="#_x0000_t202" style="position:absolute;margin-left:21.15pt;margin-top:291.6pt;width:402.85pt;height:.0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" stroked="f">
                <v:textbox style="mso-fit-shape-to-text:t" inset="0,0,0,0">
                  <w:txbxContent>
                    <w:p w14:paraId="02BCF8F5" w14:textId="0A2B02B9" w:rsidR="00A94CB7" w:rsidRPr="008D65CD" w:rsidRDefault="00A94CB7" w:rsidP="008D3543">
                      <w:pPr>
                        <w:pStyle w:val="Caption"/>
                      </w:pPr>
                      <w:bookmarkStart w:id="2" w:name="_Ref27079059"/>
                      <w:r>
                        <w:t xml:space="preserve">Figure </w:t>
                      </w:r>
                      <w:fldSimple w:instr=" SEQ Figure \* ARABIC ">
                        <w:r w:rsidR="00BE645E">
                          <w:rPr>
                            <w:noProof/>
                          </w:rPr>
                          <w:t>1</w:t>
                        </w:r>
                      </w:fldSimple>
                      <w:bookmarkEnd w:id="2"/>
                      <w:r>
                        <w:t>: Flow data for all meters within the Andreattas pool over a period of a month. Object numbers are cited. The upper sub-plot is of branch regulators IN and OUT of the pool (Andreattas and Jones respectively). The lower sub-plot is the flow rates of the meters with the pool.</w:t>
                      </w:r>
                    </w:p>
                  </w:txbxContent>
                </v:textbox>
                <w10:wrap type="topAndBottom" anchorx="margin"/>
              </v:shape>
            </w:pict>
          </mc:Fallback>
        </mc:AlternateContent>
      </w:r>
      <w:r>
        <w:rPr>
          <w:noProof/>
        </w:rPr>
        <w:drawing>
          <wp:anchor distT="0" distB="0" distL="114300" distR="114300" simplePos="0" relativeHeight="251676672" behindDoc="0" locked="0" layoutInCell="1" allowOverlap="0" wp14:anchorId="5580BFC8" wp14:editId="474A4E26">
            <wp:simplePos x="0" y="0"/>
            <wp:positionH relativeFrom="column">
              <wp:posOffset>604520</wp:posOffset>
            </wp:positionH>
            <wp:positionV relativeFrom="paragraph">
              <wp:posOffset>670560</wp:posOffset>
            </wp:positionV>
            <wp:extent cx="4509770" cy="2991485"/>
            <wp:effectExtent l="0" t="0" r="508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8465" b="7822"/>
                    <a:stretch/>
                  </pic:blipFill>
                  <pic:spPr bwMode="auto">
                    <a:xfrm>
                      <a:off x="0" y="0"/>
                      <a:ext cx="4509770" cy="2991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3543">
        <w:t xml:space="preserve">To calculate the total volume through a meter between a given time, all the flows of that meter </w:t>
      </w:r>
      <w:r>
        <w:t>are</w:t>
      </w:r>
      <w:r w:rsidR="008D3543">
        <w:t xml:space="preserve"> integrated numerically </w:t>
      </w:r>
      <w:r>
        <w:t xml:space="preserve">against time </w:t>
      </w:r>
      <w:r w:rsidR="008D3543">
        <w:t xml:space="preserve">using the trapezoidal integration rule. </w:t>
      </w:r>
      <w:r>
        <w:t>Since datapoints</w:t>
      </w:r>
      <w:r w:rsidR="003D401D">
        <w:t xml:space="preserve"> of the flow rates</w:t>
      </w:r>
      <w:r>
        <w:t xml:space="preserve"> are relatively close for active sites (see </w:t>
      </w:r>
      <w:r>
        <w:fldChar w:fldCharType="begin"/>
      </w:r>
      <w:r>
        <w:instrText xml:space="preserve"> REF _Ref27079059 \h </w:instrText>
      </w:r>
      <w:r>
        <w:fldChar w:fldCharType="separate"/>
      </w:r>
      <w:r w:rsidR="00BE645E">
        <w:t xml:space="preserve">Figure </w:t>
      </w:r>
      <w:r w:rsidR="00BE645E">
        <w:rPr>
          <w:noProof/>
        </w:rPr>
        <w:t>1</w:t>
      </w:r>
      <w:r>
        <w:fldChar w:fldCharType="end"/>
      </w:r>
      <w:r>
        <w:t xml:space="preserve">) using this rule is </w:t>
      </w:r>
      <w:proofErr w:type="gramStart"/>
      <w:r>
        <w:t>fairly acceptable</w:t>
      </w:r>
      <w:proofErr w:type="gramEnd"/>
      <w:r>
        <w:t>.</w:t>
      </w:r>
    </w:p>
    <w:p w14:paraId="31A063B6" w14:textId="119E1811" w:rsidR="00957B53" w:rsidRDefault="00957B53" w:rsidP="00957B53">
      <w:pPr>
        <w:pStyle w:val="Heading3"/>
      </w:pPr>
      <w:r>
        <w:lastRenderedPageBreak/>
        <w:t xml:space="preserve">Volume </w:t>
      </w:r>
      <w:r w:rsidR="007C6922">
        <w:t>from</w:t>
      </w:r>
      <w:r>
        <w:t xml:space="preserve"> RTU totaliser</w:t>
      </w:r>
    </w:p>
    <w:p w14:paraId="711E008D" w14:textId="77777777" w:rsidR="00BD2301" w:rsidRDefault="00781A73" w:rsidP="00957B53">
      <w:r>
        <w:t xml:space="preserve">The </w:t>
      </w:r>
      <w:r w:rsidR="00BD2301">
        <w:t xml:space="preserve">RTU keeps track of the volume of water that has passed through the meter over time. It does this by doing its own integration of flow in real time. This occurs every few seconds in the RTU and then around twice a day (depending on the polling configuration of the gate) this totaliser value is sent over SCADA to MI. Calculating the volume of water between two time periods should be as trivial as taking the totaliser value at those two time periods and subtracting the earlier one from the later. However, this is not the case. </w:t>
      </w:r>
    </w:p>
    <w:p w14:paraId="27080D59" w14:textId="3394E8AA" w:rsidR="00BD2301" w:rsidRDefault="00565C35" w:rsidP="00957B53">
      <w:r>
        <w:rPr>
          <w:noProof/>
        </w:rPr>
        <mc:AlternateContent>
          <mc:Choice Requires="wps">
            <w:drawing>
              <wp:anchor distT="0" distB="0" distL="114300" distR="114300" simplePos="0" relativeHeight="251681792" behindDoc="0" locked="0" layoutInCell="1" allowOverlap="1" wp14:anchorId="547C0109" wp14:editId="34409CFF">
                <wp:simplePos x="0" y="0"/>
                <wp:positionH relativeFrom="margin">
                  <wp:align>left</wp:align>
                </wp:positionH>
                <wp:positionV relativeFrom="paragraph">
                  <wp:posOffset>4032250</wp:posOffset>
                </wp:positionV>
                <wp:extent cx="572071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20715" cy="635"/>
                        </a:xfrm>
                        <a:prstGeom prst="rect">
                          <a:avLst/>
                        </a:prstGeom>
                        <a:solidFill>
                          <a:prstClr val="white"/>
                        </a:solidFill>
                        <a:ln>
                          <a:noFill/>
                        </a:ln>
                      </wps:spPr>
                      <wps:txbx>
                        <w:txbxContent>
                          <w:p w14:paraId="04BB298D" w14:textId="0F9A4D47" w:rsidR="00A94CB7" w:rsidRPr="00565C35" w:rsidRDefault="00A94CB7" w:rsidP="00565C35">
                            <w:pPr>
                              <w:pStyle w:val="Caption"/>
                            </w:pPr>
                            <w:bookmarkStart w:id="3" w:name="_Ref27081312"/>
                            <w:r>
                              <w:t xml:space="preserve">Figure </w:t>
                            </w:r>
                            <w:fldSimple w:instr=" SEQ Figure \* ARABIC ">
                              <w:r w:rsidR="00BE645E">
                                <w:rPr>
                                  <w:noProof/>
                                </w:rPr>
                                <w:t>2</w:t>
                              </w:r>
                            </w:fldSimple>
                            <w:bookmarkEnd w:id="3"/>
                            <w:r>
                              <w:t xml:space="preserve">: Totaliser volume through Scott’s Rd Regulator. The “Old” data series is as taken from the SCADA database, the “NEW” values are a new data series that has had the resets to zero cleaned up.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7C0109" id="Text Box 15" o:spid="_x0000_s1033" type="#_x0000_t202" style="position:absolute;margin-left:0;margin-top:317.5pt;width:450.45pt;height:.05pt;z-index:2516817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" stroked="f">
                <v:textbox style="mso-fit-shape-to-text:t" inset="0,0,0,0">
                  <w:txbxContent>
                    <w:p w14:paraId="04BB298D" w14:textId="0F9A4D47" w:rsidR="00A94CB7" w:rsidRPr="00565C35" w:rsidRDefault="00A94CB7" w:rsidP="00565C35">
                      <w:pPr>
                        <w:pStyle w:val="Caption"/>
                      </w:pPr>
                      <w:bookmarkStart w:id="4" w:name="_Ref27081312"/>
                      <w:r>
                        <w:t xml:space="preserve">Figure </w:t>
                      </w:r>
                      <w:fldSimple w:instr=" SEQ Figure \* ARABIC ">
                        <w:r w:rsidR="00BE645E">
                          <w:rPr>
                            <w:noProof/>
                          </w:rPr>
                          <w:t>2</w:t>
                        </w:r>
                      </w:fldSimple>
                      <w:bookmarkEnd w:id="4"/>
                      <w:r>
                        <w:t xml:space="preserve">: Totaliser volume through Scott’s Rd Regulator. The “Old” data series is as taken from the SCADA database, the “NEW” values are a new data series that has had the resets to zero cleaned up. </w:t>
                      </w:r>
                    </w:p>
                  </w:txbxContent>
                </v:textbox>
                <w10:wrap type="topAndBottom" anchorx="margin"/>
              </v:shape>
            </w:pict>
          </mc:Fallback>
        </mc:AlternateContent>
      </w:r>
      <w:r>
        <w:rPr>
          <w:noProof/>
        </w:rPr>
        <w:drawing>
          <wp:anchor distT="0" distB="0" distL="114300" distR="114300" simplePos="0" relativeHeight="251679744" behindDoc="0" locked="0" layoutInCell="1" allowOverlap="1" wp14:anchorId="0316BBCD" wp14:editId="1A2F6478">
            <wp:simplePos x="0" y="0"/>
            <wp:positionH relativeFrom="margin">
              <wp:align>center</wp:align>
            </wp:positionH>
            <wp:positionV relativeFrom="page">
              <wp:posOffset>3509459</wp:posOffset>
            </wp:positionV>
            <wp:extent cx="3736800" cy="27900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6800" cy="279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2301">
        <w:t>There are a few situations that can occur to make this data messy</w:t>
      </w:r>
      <w:r w:rsidR="00CE0E1F">
        <w:t xml:space="preserve"> (no longer monotonically increasing)</w:t>
      </w:r>
      <w:r w:rsidR="00BD2301">
        <w:t xml:space="preserve"> and require some data processing to address. The first and most obvious artefact of the totaliser is that the </w:t>
      </w:r>
      <w:r w:rsidR="00260633">
        <w:t>value</w:t>
      </w:r>
      <w:r w:rsidR="00BD2301">
        <w:t xml:space="preserve"> must periodically reset back to zero. Generally, this is done at the beginning of the season, but after some investigation it seems it can happen whenever the RTU resets. </w:t>
      </w:r>
      <w:r w:rsidR="00260633">
        <w:t>This situation is easily addressed by just checking when the series goes from a non-zero value to zero</w:t>
      </w:r>
      <w:r>
        <w:t xml:space="preserve"> and adding the last non-zero value to the later points in the series</w:t>
      </w:r>
      <w:r w:rsidR="00260633">
        <w:t>. See</w:t>
      </w:r>
      <w:r>
        <w:t xml:space="preserve"> </w:t>
      </w:r>
      <w:r>
        <w:fldChar w:fldCharType="begin"/>
      </w:r>
      <w:r>
        <w:instrText xml:space="preserve"> REF _Ref27081312 \h </w:instrText>
      </w:r>
      <w:r>
        <w:fldChar w:fldCharType="separate"/>
      </w:r>
      <w:r w:rsidR="00BE645E">
        <w:t xml:space="preserve">Figure </w:t>
      </w:r>
      <w:r w:rsidR="00BE645E">
        <w:rPr>
          <w:noProof/>
        </w:rPr>
        <w:t>2</w:t>
      </w:r>
      <w:r>
        <w:fldChar w:fldCharType="end"/>
      </w:r>
      <w:r>
        <w:t>.</w:t>
      </w:r>
    </w:p>
    <w:p w14:paraId="7AF4C700" w14:textId="0C8FC4D8" w:rsidR="00F251DD" w:rsidRDefault="00CE0E1F" w:rsidP="00957B53">
      <w:r>
        <w:t xml:space="preserve">If the RTU has reset (totaliser has gone to zero) and has been offline, it will continue to calculate the totaliser and transmit the most up to date value when it comes online again. This can cause </w:t>
      </w:r>
      <w:r w:rsidR="00F251DD">
        <w:t xml:space="preserve">there to never be a “0.0” value in the database when it has reset, making it difficult to track the reset and handle the data. </w:t>
      </w:r>
      <w:r w:rsidR="00AC702D">
        <w:t>Sometimes</w:t>
      </w:r>
      <w:r w:rsidR="00F251DD">
        <w:t xml:space="preserve"> </w:t>
      </w:r>
      <w:r w:rsidR="008A06D8">
        <w:t>the value</w:t>
      </w:r>
      <w:r w:rsidR="00F251DD">
        <w:t xml:space="preserve"> drops to zero in the database </w:t>
      </w:r>
      <w:r w:rsidR="008A06D8">
        <w:t>and</w:t>
      </w:r>
      <w:r w:rsidR="00F251DD">
        <w:t xml:space="preserve"> do</w:t>
      </w:r>
      <w:r w:rsidR="008A06D8">
        <w:t>es</w:t>
      </w:r>
      <w:r w:rsidR="00F251DD">
        <w:t xml:space="preserve"> not coincide with a reset to zero (as the posterior values match the previous totaliser value). </w:t>
      </w:r>
      <w:r w:rsidR="00AC702D">
        <w:t>T</w:t>
      </w:r>
      <w:r w:rsidR="00F251DD">
        <w:t xml:space="preserve">his effect can be so drastic that the totaliser value ramps down and back up again over several tens of database entries. </w:t>
      </w:r>
      <w:r w:rsidR="007F554C">
        <w:t>These</w:t>
      </w:r>
      <w:r w:rsidR="00F251DD">
        <w:t xml:space="preserve"> artefact</w:t>
      </w:r>
      <w:r w:rsidR="007F554C">
        <w:t>s</w:t>
      </w:r>
      <w:r w:rsidR="00F251DD">
        <w:t xml:space="preserve"> </w:t>
      </w:r>
      <w:r w:rsidR="007F554C">
        <w:t>are</w:t>
      </w:r>
      <w:r w:rsidR="00F251DD">
        <w:t xml:space="preserve"> illustrated in </w:t>
      </w:r>
      <w:r w:rsidR="00A035C9">
        <w:fldChar w:fldCharType="begin"/>
      </w:r>
      <w:r w:rsidR="00A035C9">
        <w:instrText xml:space="preserve"> REF _Ref27119624 \h </w:instrText>
      </w:r>
      <w:r w:rsidR="00A035C9">
        <w:fldChar w:fldCharType="separate"/>
      </w:r>
      <w:r w:rsidR="00BE645E">
        <w:t xml:space="preserve">Figure </w:t>
      </w:r>
      <w:r w:rsidR="00BE645E">
        <w:rPr>
          <w:noProof/>
        </w:rPr>
        <w:t>3</w:t>
      </w:r>
      <w:r w:rsidR="00A035C9">
        <w:fldChar w:fldCharType="end"/>
      </w:r>
      <w:r w:rsidR="00A035C9">
        <w:t xml:space="preserve"> </w:t>
      </w:r>
      <w:r w:rsidR="00F251DD">
        <w:t>and</w:t>
      </w:r>
      <w:r w:rsidR="00A035C9">
        <w:t xml:space="preserve"> </w:t>
      </w:r>
      <w:r w:rsidR="00A035C9">
        <w:rPr>
          <w:highlight w:val="yellow"/>
        </w:rPr>
        <w:fldChar w:fldCharType="begin"/>
      </w:r>
      <w:r w:rsidR="00A035C9">
        <w:instrText xml:space="preserve"> REF _Ref27119635 \h </w:instrText>
      </w:r>
      <w:r w:rsidR="00A035C9">
        <w:rPr>
          <w:highlight w:val="yellow"/>
        </w:rPr>
      </w:r>
      <w:r w:rsidR="00A035C9">
        <w:rPr>
          <w:highlight w:val="yellow"/>
        </w:rPr>
        <w:fldChar w:fldCharType="separate"/>
      </w:r>
      <w:r w:rsidR="00BE645E">
        <w:t xml:space="preserve">Figure </w:t>
      </w:r>
      <w:r w:rsidR="00BE645E">
        <w:rPr>
          <w:noProof/>
        </w:rPr>
        <w:t>4</w:t>
      </w:r>
      <w:r w:rsidR="00A035C9">
        <w:rPr>
          <w:highlight w:val="yellow"/>
        </w:rPr>
        <w:fldChar w:fldCharType="end"/>
      </w:r>
      <w:r w:rsidR="00F251DD">
        <w:t>. The causes</w:t>
      </w:r>
      <w:r w:rsidR="007F554C">
        <w:t xml:space="preserve"> for this </w:t>
      </w:r>
      <w:r w:rsidR="00F251DD">
        <w:t>remain a curiosity. To handle all these artefacts the following logic test is performed:</w:t>
      </w:r>
    </w:p>
    <w:p w14:paraId="1B8349A2" w14:textId="5BC282FE" w:rsidR="00F928F0" w:rsidRDefault="00F251DD" w:rsidP="00957B53">
      <w:pPr>
        <w:rPr>
          <w:rFonts w:ascii="Courier New" w:hAnsi="Courier New" w:cs="Courier New"/>
          <w:sz w:val="18"/>
        </w:rPr>
      </w:pPr>
      <w:r w:rsidRPr="00F928F0">
        <w:rPr>
          <w:sz w:val="18"/>
        </w:rPr>
        <w:tab/>
      </w:r>
      <w:r w:rsidRPr="00F928F0">
        <w:rPr>
          <w:rFonts w:ascii="Courier New" w:hAnsi="Courier New" w:cs="Courier New"/>
          <w:sz w:val="18"/>
        </w:rPr>
        <w:t>For all the values in the period we are interested in:</w:t>
      </w:r>
      <w:r w:rsidRPr="00F928F0">
        <w:rPr>
          <w:rFonts w:ascii="Courier New" w:hAnsi="Courier New" w:cs="Courier New"/>
          <w:sz w:val="18"/>
        </w:rPr>
        <w:br/>
      </w:r>
      <w:r w:rsidRPr="00F928F0">
        <w:rPr>
          <w:rFonts w:ascii="Courier New" w:hAnsi="Courier New" w:cs="Courier New"/>
          <w:sz w:val="18"/>
        </w:rPr>
        <w:tab/>
      </w:r>
      <w:r w:rsidRPr="00F928F0">
        <w:rPr>
          <w:rFonts w:ascii="Courier New" w:hAnsi="Courier New" w:cs="Courier New"/>
          <w:sz w:val="18"/>
        </w:rPr>
        <w:tab/>
        <w:t>if</w:t>
      </w:r>
      <w:r w:rsidR="00F928F0" w:rsidRPr="00F928F0">
        <w:rPr>
          <w:rFonts w:ascii="Courier New" w:hAnsi="Courier New" w:cs="Courier New"/>
          <w:sz w:val="18"/>
        </w:rPr>
        <w:t xml:space="preserve"> the (value –</w:t>
      </w:r>
      <w:r w:rsidR="00F928F0">
        <w:rPr>
          <w:rFonts w:ascii="Courier New" w:hAnsi="Courier New" w:cs="Courier New"/>
          <w:sz w:val="18"/>
        </w:rPr>
        <w:t xml:space="preserve"> </w:t>
      </w:r>
      <w:r w:rsidR="00F928F0" w:rsidRPr="00F928F0">
        <w:rPr>
          <w:rFonts w:ascii="Courier New" w:hAnsi="Courier New" w:cs="Courier New"/>
          <w:sz w:val="18"/>
        </w:rPr>
        <w:t>sensitivity)</w:t>
      </w:r>
      <w:r w:rsidR="00F928F0">
        <w:rPr>
          <w:rFonts w:ascii="Courier New" w:hAnsi="Courier New" w:cs="Courier New"/>
          <w:sz w:val="18"/>
        </w:rPr>
        <w:t xml:space="preserve"> &lt; </w:t>
      </w:r>
      <w:proofErr w:type="gramStart"/>
      <w:r w:rsidR="00F928F0">
        <w:rPr>
          <w:rFonts w:ascii="Courier New" w:hAnsi="Courier New" w:cs="Courier New"/>
          <w:sz w:val="18"/>
        </w:rPr>
        <w:t>all of</w:t>
      </w:r>
      <w:proofErr w:type="gramEnd"/>
      <w:r w:rsidR="00F928F0">
        <w:rPr>
          <w:rFonts w:ascii="Courier New" w:hAnsi="Courier New" w:cs="Courier New"/>
          <w:sz w:val="18"/>
        </w:rPr>
        <w:t xml:space="preserve"> the next 100 values,</w:t>
      </w:r>
      <w:r w:rsidR="00F928F0">
        <w:rPr>
          <w:rFonts w:ascii="Courier New" w:hAnsi="Courier New" w:cs="Courier New"/>
          <w:sz w:val="18"/>
        </w:rPr>
        <w:br/>
      </w:r>
      <w:r w:rsidR="00F928F0" w:rsidRPr="00F928F0">
        <w:rPr>
          <w:rFonts w:ascii="Courier New" w:hAnsi="Courier New" w:cs="Courier New"/>
          <w:sz w:val="18"/>
        </w:rPr>
        <w:t xml:space="preserve"> </w:t>
      </w:r>
      <w:r w:rsidR="00F928F0">
        <w:rPr>
          <w:rFonts w:ascii="Courier New" w:hAnsi="Courier New" w:cs="Courier New"/>
          <w:sz w:val="18"/>
        </w:rPr>
        <w:t xml:space="preserve">                   then consider this a reset and handle accordingly</w:t>
      </w:r>
      <w:r w:rsidR="00F928F0">
        <w:rPr>
          <w:rFonts w:ascii="Courier New" w:hAnsi="Courier New" w:cs="Courier New"/>
          <w:sz w:val="18"/>
        </w:rPr>
        <w:br/>
      </w:r>
      <w:r w:rsidR="00F928F0">
        <w:rPr>
          <w:rFonts w:ascii="Courier New" w:hAnsi="Courier New" w:cs="Courier New"/>
          <w:sz w:val="18"/>
        </w:rPr>
        <w:tab/>
      </w:r>
      <w:r w:rsidR="00F928F0">
        <w:rPr>
          <w:rFonts w:ascii="Courier New" w:hAnsi="Courier New" w:cs="Courier New"/>
          <w:sz w:val="18"/>
        </w:rPr>
        <w:tab/>
        <w:t>otherwise,</w:t>
      </w:r>
      <w:r w:rsidR="00F928F0">
        <w:rPr>
          <w:rFonts w:ascii="Courier New" w:hAnsi="Courier New" w:cs="Courier New"/>
          <w:sz w:val="18"/>
        </w:rPr>
        <w:br/>
      </w:r>
      <w:r w:rsidR="00F928F0">
        <w:rPr>
          <w:rFonts w:ascii="Courier New" w:hAnsi="Courier New" w:cs="Courier New"/>
          <w:sz w:val="18"/>
        </w:rPr>
        <w:tab/>
      </w:r>
      <w:r w:rsidR="00F928F0">
        <w:rPr>
          <w:rFonts w:ascii="Courier New" w:hAnsi="Courier New" w:cs="Courier New"/>
          <w:sz w:val="18"/>
        </w:rPr>
        <w:tab/>
      </w:r>
      <w:r w:rsidR="00F928F0">
        <w:rPr>
          <w:rFonts w:ascii="Courier New" w:hAnsi="Courier New" w:cs="Courier New"/>
          <w:sz w:val="18"/>
        </w:rPr>
        <w:tab/>
        <w:t xml:space="preserve">treat as </w:t>
      </w:r>
      <w:r w:rsidR="00327F12">
        <w:rPr>
          <w:rFonts w:ascii="Courier New" w:hAnsi="Courier New" w:cs="Courier New"/>
          <w:sz w:val="18"/>
        </w:rPr>
        <w:t>other</w:t>
      </w:r>
      <w:r w:rsidR="00F928F0">
        <w:rPr>
          <w:rFonts w:ascii="Courier New" w:hAnsi="Courier New" w:cs="Courier New"/>
          <w:sz w:val="18"/>
        </w:rPr>
        <w:t xml:space="preserve"> artefact and do not reset</w:t>
      </w:r>
    </w:p>
    <w:p w14:paraId="16AC7E6E" w14:textId="11365BC1" w:rsidR="00F928F0" w:rsidRDefault="00F928F0" w:rsidP="00F928F0">
      <w:r>
        <w:t xml:space="preserve">The sensitivity value (1.0 </w:t>
      </w:r>
      <w:r w:rsidR="001E01BB">
        <w:t>used</w:t>
      </w:r>
      <w:r>
        <w:t xml:space="preserve">) is to prevent an artefact caused by </w:t>
      </w:r>
      <w:r w:rsidR="00CC0930">
        <w:t>float rounding</w:t>
      </w:r>
      <w:r>
        <w:t xml:space="preserve"> of the decimal places in the totaliser occasionally causing the totaliser to break the monotonic increasing rule.</w:t>
      </w:r>
      <w:r w:rsidR="001E01BB">
        <w:t xml:space="preserve"> </w:t>
      </w:r>
      <w:r w:rsidR="001E01BB">
        <w:br/>
        <w:t xml:space="preserve">E.g. 14.84500, 14.87500, </w:t>
      </w:r>
      <w:r w:rsidR="001E01BB" w:rsidRPr="001E01BB">
        <w:rPr>
          <w:color w:val="C00000"/>
        </w:rPr>
        <w:t>14.87000</w:t>
      </w:r>
      <w:r w:rsidR="001E01BB">
        <w:t>, 14.89000</w:t>
      </w:r>
      <w:r w:rsidR="0092693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A035C9" w14:paraId="4811A19A" w14:textId="77777777" w:rsidTr="00A035C9">
        <w:tc>
          <w:tcPr>
            <w:tcW w:w="4508" w:type="dxa"/>
          </w:tcPr>
          <w:p w14:paraId="2383D159" w14:textId="77777777" w:rsidR="00A035C9" w:rsidRDefault="00A035C9" w:rsidP="00A035C9">
            <w:pPr>
              <w:keepNext/>
            </w:pPr>
            <w:r>
              <w:rPr>
                <w:noProof/>
              </w:rPr>
              <w:lastRenderedPageBreak/>
              <w:drawing>
                <wp:inline distT="0" distB="0" distL="0" distR="0" wp14:anchorId="63F543C1" wp14:editId="797AF51E">
                  <wp:extent cx="2797200" cy="2088000"/>
                  <wp:effectExtent l="0" t="0" r="317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7200" cy="2088000"/>
                          </a:xfrm>
                          <a:prstGeom prst="rect">
                            <a:avLst/>
                          </a:prstGeom>
                          <a:noFill/>
                          <a:ln>
                            <a:noFill/>
                          </a:ln>
                        </pic:spPr>
                      </pic:pic>
                    </a:graphicData>
                  </a:graphic>
                </wp:inline>
              </w:drawing>
            </w:r>
          </w:p>
          <w:p w14:paraId="417ADF83" w14:textId="034666FE" w:rsidR="0092693E" w:rsidRDefault="00A035C9" w:rsidP="00A035C9">
            <w:pPr>
              <w:pStyle w:val="Caption"/>
            </w:pPr>
            <w:bookmarkStart w:id="5" w:name="_Ref27119624"/>
            <w:r>
              <w:t xml:space="preserve">Figure </w:t>
            </w:r>
            <w:fldSimple w:instr=" SEQ Figure \* ARABIC ">
              <w:r w:rsidR="00BE645E">
                <w:rPr>
                  <w:noProof/>
                </w:rPr>
                <w:t>3</w:t>
              </w:r>
            </w:fldSimple>
            <w:bookmarkEnd w:id="5"/>
            <w:r>
              <w:t>: An example of a brief drop to zero in the totaliser. Datapoints are marked with “</w:t>
            </w:r>
            <w:proofErr w:type="gramStart"/>
            <w:r>
              <w:t>X”s.</w:t>
            </w:r>
            <w:proofErr w:type="gramEnd"/>
          </w:p>
        </w:tc>
        <w:tc>
          <w:tcPr>
            <w:tcW w:w="4508" w:type="dxa"/>
          </w:tcPr>
          <w:p w14:paraId="5A1A9149" w14:textId="77777777" w:rsidR="00A035C9" w:rsidRDefault="00A035C9" w:rsidP="00A035C9">
            <w:pPr>
              <w:keepNext/>
            </w:pPr>
            <w:r>
              <w:rPr>
                <w:noProof/>
              </w:rPr>
              <w:drawing>
                <wp:inline distT="0" distB="0" distL="0" distR="0" wp14:anchorId="36C09F5D" wp14:editId="2444ABAE">
                  <wp:extent cx="2796876" cy="2087813"/>
                  <wp:effectExtent l="0" t="0" r="381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5968" cy="2094600"/>
                          </a:xfrm>
                          <a:prstGeom prst="rect">
                            <a:avLst/>
                          </a:prstGeom>
                          <a:noFill/>
                          <a:ln>
                            <a:noFill/>
                          </a:ln>
                        </pic:spPr>
                      </pic:pic>
                    </a:graphicData>
                  </a:graphic>
                </wp:inline>
              </w:drawing>
            </w:r>
          </w:p>
          <w:p w14:paraId="21DD7657" w14:textId="22AA2D85" w:rsidR="0092693E" w:rsidRDefault="00A035C9" w:rsidP="00A035C9">
            <w:pPr>
              <w:pStyle w:val="Caption"/>
            </w:pPr>
            <w:bookmarkStart w:id="6" w:name="_Ref27119635"/>
            <w:r>
              <w:t xml:space="preserve">Figure </w:t>
            </w:r>
            <w:fldSimple w:instr=" SEQ Figure \* ARABIC ">
              <w:r w:rsidR="00BE645E">
                <w:rPr>
                  <w:noProof/>
                </w:rPr>
                <w:t>4</w:t>
              </w:r>
            </w:fldSimple>
            <w:bookmarkEnd w:id="6"/>
            <w:r>
              <w:t xml:space="preserve">: An example of a drop to zero for </w:t>
            </w:r>
            <w:proofErr w:type="gramStart"/>
            <w:r>
              <w:t>a period of time</w:t>
            </w:r>
            <w:proofErr w:type="gramEnd"/>
            <w:r>
              <w:t xml:space="preserve"> and a return. Datapoints are marked with "X"s.</w:t>
            </w:r>
          </w:p>
        </w:tc>
      </w:tr>
    </w:tbl>
    <w:p w14:paraId="0157A011" w14:textId="4A397450" w:rsidR="00077791" w:rsidRDefault="008A06D8" w:rsidP="00077791">
      <w:r>
        <w:br/>
      </w:r>
      <w:r w:rsidR="00A035C9">
        <w:t>One can note that in dealing with the artefacts</w:t>
      </w:r>
      <w:r w:rsidR="00A035C9" w:rsidRPr="00A035C9">
        <w:t xml:space="preserve"> </w:t>
      </w:r>
      <w:r w:rsidR="00A035C9">
        <w:t xml:space="preserve">illustrated in </w:t>
      </w:r>
      <w:r w:rsidR="00A035C9">
        <w:fldChar w:fldCharType="begin"/>
      </w:r>
      <w:r w:rsidR="00A035C9">
        <w:instrText xml:space="preserve"> REF _Ref27119624 \h </w:instrText>
      </w:r>
      <w:r w:rsidR="00A035C9">
        <w:fldChar w:fldCharType="separate"/>
      </w:r>
      <w:r w:rsidR="00BE645E">
        <w:t xml:space="preserve">Figure </w:t>
      </w:r>
      <w:r w:rsidR="00BE645E">
        <w:rPr>
          <w:noProof/>
        </w:rPr>
        <w:t>3</w:t>
      </w:r>
      <w:r w:rsidR="00A035C9">
        <w:fldChar w:fldCharType="end"/>
      </w:r>
      <w:r w:rsidR="00A035C9">
        <w:t xml:space="preserve"> and </w:t>
      </w:r>
      <w:r w:rsidR="00A035C9">
        <w:rPr>
          <w:highlight w:val="yellow"/>
        </w:rPr>
        <w:fldChar w:fldCharType="begin"/>
      </w:r>
      <w:r w:rsidR="00A035C9">
        <w:instrText xml:space="preserve"> REF _Ref27119635 \h </w:instrText>
      </w:r>
      <w:r w:rsidR="00A035C9">
        <w:rPr>
          <w:highlight w:val="yellow"/>
        </w:rPr>
      </w:r>
      <w:r w:rsidR="00A035C9">
        <w:rPr>
          <w:highlight w:val="yellow"/>
        </w:rPr>
        <w:fldChar w:fldCharType="separate"/>
      </w:r>
      <w:r w:rsidR="00BE645E">
        <w:t xml:space="preserve">Figure </w:t>
      </w:r>
      <w:r w:rsidR="00BE645E">
        <w:rPr>
          <w:noProof/>
        </w:rPr>
        <w:t>4</w:t>
      </w:r>
      <w:r w:rsidR="00A035C9">
        <w:rPr>
          <w:highlight w:val="yellow"/>
        </w:rPr>
        <w:fldChar w:fldCharType="end"/>
      </w:r>
      <w:r w:rsidR="00A035C9">
        <w:t>, there is a possibility that the data might drop to zero at the end of a period we are interested in, giving an incorrect calculation of volume. This situation is handled by taking the maximum value of the cumulative volume for that period</w:t>
      </w:r>
      <w:r w:rsidR="00077791">
        <w:t>. In other words:</w:t>
      </w:r>
    </w:p>
    <w:p w14:paraId="284E8F71" w14:textId="069F331B" w:rsidR="00A035C9" w:rsidRDefault="00077791" w:rsidP="00077791">
      <w:pPr>
        <w:rPr>
          <w:rFonts w:ascii="Courier New" w:hAnsi="Courier New" w:cs="Courier New"/>
          <w:sz w:val="18"/>
        </w:rPr>
      </w:pPr>
      <w:r w:rsidRPr="00077791">
        <w:rPr>
          <w:rFonts w:ascii="Courier New" w:hAnsi="Courier New" w:cs="Courier New"/>
          <w:sz w:val="18"/>
        </w:rPr>
        <w:t>Volume</w:t>
      </w:r>
      <w:r>
        <w:rPr>
          <w:rFonts w:ascii="Courier New" w:hAnsi="Courier New" w:cs="Courier New"/>
          <w:sz w:val="18"/>
        </w:rPr>
        <w:t xml:space="preserve"> = </w:t>
      </w:r>
      <w:proofErr w:type="gramStart"/>
      <w:r w:rsidRPr="00077791">
        <w:rPr>
          <w:rFonts w:ascii="Courier New" w:hAnsi="Courier New" w:cs="Courier New"/>
          <w:sz w:val="18"/>
        </w:rPr>
        <w:t>Max</w:t>
      </w:r>
      <w:r>
        <w:rPr>
          <w:rFonts w:ascii="Courier New" w:hAnsi="Courier New" w:cs="Courier New"/>
          <w:sz w:val="18"/>
        </w:rPr>
        <w:t>(</w:t>
      </w:r>
      <w:proofErr w:type="gramEnd"/>
      <w:r w:rsidRPr="00077791">
        <w:rPr>
          <w:rFonts w:ascii="Courier New" w:hAnsi="Courier New" w:cs="Courier New"/>
          <w:sz w:val="18"/>
        </w:rPr>
        <w:t>Cumulative flow for period</w:t>
      </w:r>
      <w:r>
        <w:rPr>
          <w:rFonts w:ascii="Courier New" w:hAnsi="Courier New" w:cs="Courier New"/>
          <w:sz w:val="18"/>
        </w:rPr>
        <w:t>)</w:t>
      </w:r>
      <w:r w:rsidRPr="00077791">
        <w:rPr>
          <w:rFonts w:ascii="Courier New" w:hAnsi="Courier New" w:cs="Courier New"/>
          <w:sz w:val="18"/>
        </w:rPr>
        <w:t xml:space="preserve"> – cumulative flow at beginning </w:t>
      </w:r>
    </w:p>
    <w:p w14:paraId="0BE06AF0" w14:textId="6683EAB5" w:rsidR="004B5CE4" w:rsidRPr="00F05EF5" w:rsidRDefault="00077791">
      <w:r>
        <w:t>This cannot handle the case where the flow is zero at the beginning of a period as it is very difficult to tell whether a jump upwards is due to a zero error or a huge flow demand at the meter. If this situation occurs, the volume may be hugely over</w:t>
      </w:r>
      <w:r w:rsidR="00DD5BE1">
        <w:t>estimated. By combining the two methods (manual integration and RTU totaliser) this situation can be flagged</w:t>
      </w:r>
      <w:r w:rsidR="000A78FB">
        <w:t xml:space="preserve"> and dealt with</w:t>
      </w:r>
      <w:r w:rsidR="00DD5BE1">
        <w:t xml:space="preserve">. </w:t>
      </w:r>
      <w:r>
        <w:t xml:space="preserve"> </w:t>
      </w:r>
    </w:p>
    <w:p w14:paraId="60389946" w14:textId="77777777" w:rsidR="00F05EF5" w:rsidRDefault="00F05EF5">
      <w:pPr>
        <w:rPr>
          <w:rFonts w:asciiTheme="majorHAnsi" w:eastAsiaTheme="majorEastAsia" w:hAnsiTheme="majorHAnsi" w:cstheme="majorBidi"/>
          <w:color w:val="374C80" w:themeColor="accent1" w:themeShade="BF"/>
          <w:sz w:val="26"/>
          <w:szCs w:val="26"/>
        </w:rPr>
      </w:pPr>
      <w:r>
        <w:br w:type="page"/>
      </w:r>
    </w:p>
    <w:p w14:paraId="727B0CBD" w14:textId="6DD0040F" w:rsidR="003B466D" w:rsidRDefault="003B466D" w:rsidP="003B466D">
      <w:pPr>
        <w:pStyle w:val="Heading2"/>
      </w:pPr>
      <w:r>
        <w:lastRenderedPageBreak/>
        <w:t>Summary of results</w:t>
      </w:r>
    </w:p>
    <w:p w14:paraId="18D56901" w14:textId="2458BA46" w:rsidR="0065004E" w:rsidRDefault="0065004E" w:rsidP="003B466D">
      <w:r>
        <w:t xml:space="preserve">Water balances were calculated for every pool in the lake view branch for the period between 09/10 to 09/11 of </w:t>
      </w:r>
      <w:r w:rsidR="008A06D8">
        <w:t>2019</w:t>
      </w:r>
      <w:r>
        <w:t>. Both meter volume methods were used (</w:t>
      </w:r>
      <w:r w:rsidR="004B5CE4">
        <w:t>INTEGRATED</w:t>
      </w:r>
      <w:r>
        <w:t xml:space="preserve"> and RTU) and were compared against the output of </w:t>
      </w:r>
      <w:r w:rsidR="005C0AB0">
        <w:t xml:space="preserve">a </w:t>
      </w:r>
      <w:r>
        <w:t>RUBICON efficiency report</w:t>
      </w:r>
      <w:r w:rsidR="004B5CE4">
        <w:t xml:space="preserve"> (REPORTED)</w:t>
      </w:r>
      <w:r w:rsidR="005C0AB0">
        <w:t xml:space="preserve"> of the same time interval</w:t>
      </w:r>
      <w:r>
        <w:t xml:space="preserve">. </w:t>
      </w:r>
      <w:r w:rsidR="004B5CE4">
        <w:t>To audit the accuracy of volume calculation through a single gate the following comparison</w:t>
      </w:r>
      <w:r w:rsidR="00A94CB7">
        <w:t xml:space="preserve"> in </w:t>
      </w:r>
      <w:r w:rsidR="00A94CB7">
        <w:fldChar w:fldCharType="begin"/>
      </w:r>
      <w:r w:rsidR="00A94CB7">
        <w:instrText xml:space="preserve"> REF _Ref27125390 \h </w:instrText>
      </w:r>
      <w:r w:rsidR="00A94CB7">
        <w:fldChar w:fldCharType="separate"/>
      </w:r>
      <w:r w:rsidR="00BE645E">
        <w:t xml:space="preserve">Figure </w:t>
      </w:r>
      <w:r w:rsidR="00BE645E">
        <w:rPr>
          <w:noProof/>
        </w:rPr>
        <w:t>5</w:t>
      </w:r>
      <w:r w:rsidR="00A94CB7">
        <w:fldChar w:fldCharType="end"/>
      </w:r>
      <w:r w:rsidR="004B5CE4">
        <w:t xml:space="preserve"> was made.</w:t>
      </w:r>
    </w:p>
    <w:p w14:paraId="11CBA7EC" w14:textId="207ECE21" w:rsidR="004B5CE4" w:rsidRDefault="00A94CB7" w:rsidP="004B5CE4">
      <w:pPr>
        <w:keepNext/>
      </w:pPr>
      <w:r>
        <w:rPr>
          <w:noProof/>
        </w:rPr>
        <w:drawing>
          <wp:inline distT="0" distB="0" distL="0" distR="0" wp14:anchorId="44DF57C8" wp14:editId="3006C426">
            <wp:extent cx="5701783" cy="371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8198" cy="3745444"/>
                    </a:xfrm>
                    <a:prstGeom prst="rect">
                      <a:avLst/>
                    </a:prstGeom>
                    <a:noFill/>
                  </pic:spPr>
                </pic:pic>
              </a:graphicData>
            </a:graphic>
          </wp:inline>
        </w:drawing>
      </w:r>
    </w:p>
    <w:p w14:paraId="1BC55DD2" w14:textId="730779BE" w:rsidR="0065004E" w:rsidRDefault="004B5CE4" w:rsidP="004B5CE4">
      <w:pPr>
        <w:pStyle w:val="Caption"/>
      </w:pPr>
      <w:bookmarkStart w:id="7" w:name="_Ref27125390"/>
      <w:r>
        <w:t xml:space="preserve">Figure </w:t>
      </w:r>
      <w:fldSimple w:instr=" SEQ Figure \* ARABIC ">
        <w:r w:rsidR="00BE645E">
          <w:rPr>
            <w:noProof/>
          </w:rPr>
          <w:t>5</w:t>
        </w:r>
      </w:fldSimple>
      <w:bookmarkEnd w:id="7"/>
      <w:r>
        <w:t xml:space="preserve">: Flows of water through each regulator over a period of a month. Logarithmic scale is used to visualise error bars for very small values as well as very large. Most values overlap exactly and are hidden by REPORTED. </w:t>
      </w:r>
    </w:p>
    <w:p w14:paraId="34B6E6DF" w14:textId="5CB06C8F" w:rsidR="00A94CB7" w:rsidRDefault="00A94CB7" w:rsidP="00A94CB7">
      <w:r>
        <w:fldChar w:fldCharType="begin"/>
      </w:r>
      <w:r>
        <w:instrText xml:space="preserve"> REF _Ref27125390 \h </w:instrText>
      </w:r>
      <w:r>
        <w:fldChar w:fldCharType="separate"/>
      </w:r>
      <w:r w:rsidR="00BE645E">
        <w:t xml:space="preserve">Figure </w:t>
      </w:r>
      <w:r w:rsidR="00BE645E">
        <w:rPr>
          <w:noProof/>
        </w:rPr>
        <w:t>5</w:t>
      </w:r>
      <w:r>
        <w:fldChar w:fldCharType="end"/>
      </w:r>
      <w:r>
        <w:t xml:space="preserve"> shows that our methods are within 5% (and in most cases with higher volumes</w:t>
      </w:r>
      <w:r w:rsidR="005C0AB0">
        <w:t>,</w:t>
      </w:r>
      <w:r>
        <w:t xml:space="preserve"> within 2%) of the RUBICON report. This builds a lot of confidence in our methods</w:t>
      </w:r>
      <w:r w:rsidR="005C0AB0">
        <w:t xml:space="preserve"> for a single gate</w:t>
      </w:r>
      <w:r>
        <w:t xml:space="preserve">. </w:t>
      </w:r>
    </w:p>
    <w:p w14:paraId="702025C4" w14:textId="3B2FCF48" w:rsidR="00F05EF5" w:rsidRDefault="00246EFE" w:rsidP="00A94CB7">
      <w:r>
        <w:t xml:space="preserve">To measure the accuracy of our methods against </w:t>
      </w:r>
      <w:r w:rsidR="00B16124">
        <w:t>reported deliveries</w:t>
      </w:r>
      <w:r>
        <w:t xml:space="preserve"> for each pool</w:t>
      </w:r>
      <w:r w:rsidR="00C920B5">
        <w:t>,</w:t>
      </w:r>
      <w:r>
        <w:t xml:space="preserve"> </w:t>
      </w:r>
      <w:r w:rsidR="00B16124">
        <w:t>the flows through each meter</w:t>
      </w:r>
      <w:r w:rsidR="00B16124">
        <w:rPr>
          <w:rStyle w:val="FootnoteReference"/>
        </w:rPr>
        <w:footnoteReference w:id="5"/>
      </w:r>
      <w:r w:rsidR="00B16124">
        <w:t xml:space="preserve"> in that pool were summed together.</w:t>
      </w:r>
      <w:r w:rsidR="005C0AB0">
        <w:t xml:space="preserve"> Flows </w:t>
      </w:r>
      <w:r w:rsidR="008A06D8">
        <w:t>at</w:t>
      </w:r>
      <w:r w:rsidR="005C0AB0">
        <w:t xml:space="preserve"> lateral offtakes were not considered, only the</w:t>
      </w:r>
      <w:r w:rsidR="008A06D8">
        <w:t>ir downstream</w:t>
      </w:r>
      <w:r w:rsidR="005C0AB0">
        <w:t xml:space="preserve"> meter</w:t>
      </w:r>
      <w:r w:rsidR="008A06D8">
        <w:t>s</w:t>
      </w:r>
      <w:r w:rsidR="005C0AB0">
        <w:t>.</w:t>
      </w:r>
      <w:r w:rsidR="00B16124">
        <w:t xml:space="preserve"> </w:t>
      </w:r>
      <w:r w:rsidR="00B16124">
        <w:fldChar w:fldCharType="begin"/>
      </w:r>
      <w:r w:rsidR="00B16124">
        <w:instrText xml:space="preserve"> REF _Ref27129686 \h </w:instrText>
      </w:r>
      <w:r w:rsidR="00B16124">
        <w:fldChar w:fldCharType="separate"/>
      </w:r>
      <w:r w:rsidR="00BE645E">
        <w:t xml:space="preserve">Figure </w:t>
      </w:r>
      <w:r w:rsidR="00BE645E">
        <w:rPr>
          <w:noProof/>
        </w:rPr>
        <w:t>6</w:t>
      </w:r>
      <w:r w:rsidR="00B16124">
        <w:fldChar w:fldCharType="end"/>
      </w:r>
      <w:r w:rsidR="00B16124">
        <w:t xml:space="preserve"> below illustrates the findings of these calculations. </w:t>
      </w:r>
      <w:r w:rsidR="00F05EF5">
        <w:t>In seven cases both our methods are within 5% (including when the calculated deliveries sums to zero).</w:t>
      </w:r>
      <w:r w:rsidR="00F05EF5">
        <w:t xml:space="preserve"> </w:t>
      </w:r>
      <w:r w:rsidR="00B16124">
        <w:t>In six cases, our calculations fall more than 5% under the REPORTED values</w:t>
      </w:r>
      <w:r w:rsidR="005C0AB0">
        <w:t>, significantly in</w:t>
      </w:r>
      <w:r w:rsidR="00F05EF5">
        <w:t xml:space="preserve"> the case of the</w:t>
      </w:r>
      <w:r w:rsidR="005C0AB0">
        <w:t xml:space="preserve"> Nericon</w:t>
      </w:r>
      <w:r w:rsidR="00F05EF5">
        <w:t xml:space="preserve"> pool – see later</w:t>
      </w:r>
      <w:r w:rsidR="00B16124">
        <w:t>.</w:t>
      </w:r>
    </w:p>
    <w:p w14:paraId="6F28EF1F" w14:textId="0357475C" w:rsidR="00246EFE" w:rsidRDefault="005C0AB0" w:rsidP="00A94CB7">
      <w:r>
        <w:t xml:space="preserve"> In three cases our estimates exceeded the RUBICON report</w:t>
      </w:r>
      <w:r w:rsidR="00F05EF5">
        <w:t>.</w:t>
      </w:r>
      <w:r w:rsidR="00F05EF5">
        <w:t xml:space="preserve"> </w:t>
      </w:r>
      <w:r w:rsidR="00F05EF5">
        <w:t xml:space="preserve">Our methods do not consider manually read meters (without telemetry), and it is reasonable to assume RUBICON </w:t>
      </w:r>
      <w:r w:rsidR="00F05EF5" w:rsidRPr="00F05EF5">
        <w:rPr>
          <w:b/>
        </w:rPr>
        <w:t>does</w:t>
      </w:r>
      <w:r w:rsidR="00F05EF5">
        <w:t xml:space="preserve"> include these meter readings in their report. </w:t>
      </w:r>
      <w:r w:rsidR="00F05EF5">
        <w:t>This is a surprising output as we expected our methods to underestimate in all situations.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B7459" w14:paraId="3AEDDE13" w14:textId="77777777" w:rsidTr="00AB7459">
        <w:tc>
          <w:tcPr>
            <w:tcW w:w="9016" w:type="dxa"/>
          </w:tcPr>
          <w:p w14:paraId="49C58E38" w14:textId="52A08B14" w:rsidR="00AB7459" w:rsidRDefault="00B16124" w:rsidP="00A94CB7">
            <w:r>
              <w:rPr>
                <w:noProof/>
              </w:rPr>
              <w:lastRenderedPageBreak/>
              <w:drawing>
                <wp:inline distT="0" distB="0" distL="0" distR="0" wp14:anchorId="362B9A83" wp14:editId="351D95C5">
                  <wp:extent cx="5546920" cy="3614293"/>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59568" cy="3622534"/>
                          </a:xfrm>
                          <a:prstGeom prst="rect">
                            <a:avLst/>
                          </a:prstGeom>
                          <a:noFill/>
                        </pic:spPr>
                      </pic:pic>
                    </a:graphicData>
                  </a:graphic>
                </wp:inline>
              </w:drawing>
            </w:r>
          </w:p>
        </w:tc>
      </w:tr>
      <w:tr w:rsidR="00AB7459" w14:paraId="46967258" w14:textId="77777777" w:rsidTr="00AB7459">
        <w:tc>
          <w:tcPr>
            <w:tcW w:w="9016" w:type="dxa"/>
          </w:tcPr>
          <w:tbl>
            <w:tblPr>
              <w:tblpPr w:leftFromText="180" w:rightFromText="180" w:vertAnchor="page" w:horzAnchor="margin" w:tblpY="149"/>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8"/>
              <w:gridCol w:w="490"/>
              <w:gridCol w:w="490"/>
              <w:gridCol w:w="429"/>
              <w:gridCol w:w="373"/>
              <w:gridCol w:w="492"/>
              <w:gridCol w:w="429"/>
              <w:gridCol w:w="429"/>
              <w:gridCol w:w="490"/>
              <w:gridCol w:w="490"/>
              <w:gridCol w:w="490"/>
              <w:gridCol w:w="490"/>
              <w:gridCol w:w="492"/>
              <w:gridCol w:w="373"/>
              <w:gridCol w:w="490"/>
              <w:gridCol w:w="429"/>
              <w:gridCol w:w="429"/>
              <w:gridCol w:w="551"/>
            </w:tblGrid>
            <w:tr w:rsidR="005C0AB0" w:rsidRPr="005C0AB0" w14:paraId="2AF29914" w14:textId="77777777" w:rsidTr="005C0AB0">
              <w:trPr>
                <w:cantSplit/>
                <w:trHeight w:val="988"/>
              </w:trPr>
              <w:tc>
                <w:tcPr>
                  <w:tcW w:w="0" w:type="auto"/>
                  <w:tcBorders>
                    <w:top w:val="nil"/>
                    <w:left w:val="nil"/>
                    <w:bottom w:val="single" w:sz="4" w:space="0" w:color="808080" w:themeColor="background1" w:themeShade="80"/>
                    <w:right w:val="single" w:sz="4" w:space="0" w:color="808080" w:themeColor="background1" w:themeShade="80"/>
                  </w:tcBorders>
                  <w:shd w:val="clear" w:color="auto" w:fill="auto"/>
                  <w:noWrap/>
                  <w:vAlign w:val="center"/>
                  <w:hideMark/>
                </w:tcPr>
                <w:p w14:paraId="4B046B93" w14:textId="77777777" w:rsidR="00AB7459" w:rsidRPr="001A02A1" w:rsidRDefault="00AB7459" w:rsidP="00C920B5">
                  <w:pPr>
                    <w:spacing w:after="0" w:line="240" w:lineRule="auto"/>
                    <w:jc w:val="right"/>
                    <w:rPr>
                      <w:rFonts w:eastAsia="Times New Roman" w:cstheme="minorHAnsi"/>
                      <w:b/>
                      <w:sz w:val="12"/>
                      <w:szCs w:val="24"/>
                      <w:lang w:eastAsia="en-AU"/>
                    </w:rPr>
                  </w:pPr>
                  <w:r w:rsidRPr="005C0AB0">
                    <w:rPr>
                      <w:rFonts w:eastAsia="Times New Roman" w:cstheme="minorHAnsi"/>
                      <w:b/>
                      <w:sz w:val="12"/>
                      <w:szCs w:val="24"/>
                      <w:lang w:eastAsia="en-AU"/>
                    </w:rPr>
                    <w:t>Volume in ML</w:t>
                  </w:r>
                </w:p>
              </w:tc>
              <w:tc>
                <w:tcPr>
                  <w:tcW w:w="0" w:type="auto"/>
                  <w:tcBorders>
                    <w:left w:val="single" w:sz="4" w:space="0" w:color="808080" w:themeColor="background1" w:themeShade="80"/>
                  </w:tcBorders>
                  <w:shd w:val="clear" w:color="auto" w:fill="auto"/>
                  <w:noWrap/>
                  <w:textDirection w:val="btLr"/>
                  <w:vAlign w:val="center"/>
                  <w:hideMark/>
                </w:tcPr>
                <w:p w14:paraId="039FB5E8"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SCOTTS</w:t>
                  </w:r>
                </w:p>
              </w:tc>
              <w:tc>
                <w:tcPr>
                  <w:tcW w:w="0" w:type="auto"/>
                  <w:shd w:val="clear" w:color="auto" w:fill="auto"/>
                  <w:noWrap/>
                  <w:textDirection w:val="btLr"/>
                  <w:vAlign w:val="center"/>
                  <w:hideMark/>
                </w:tcPr>
                <w:p w14:paraId="21122E0B"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ANDREATTAS</w:t>
                  </w:r>
                </w:p>
              </w:tc>
              <w:tc>
                <w:tcPr>
                  <w:tcW w:w="0" w:type="auto"/>
                  <w:shd w:val="clear" w:color="auto" w:fill="auto"/>
                  <w:noWrap/>
                  <w:textDirection w:val="btLr"/>
                  <w:vAlign w:val="center"/>
                  <w:hideMark/>
                </w:tcPr>
                <w:p w14:paraId="517D2EA4"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JONES</w:t>
                  </w:r>
                </w:p>
              </w:tc>
              <w:tc>
                <w:tcPr>
                  <w:tcW w:w="0" w:type="auto"/>
                  <w:shd w:val="clear" w:color="auto" w:fill="auto"/>
                  <w:noWrap/>
                  <w:textDirection w:val="btLr"/>
                  <w:vAlign w:val="center"/>
                  <w:hideMark/>
                </w:tcPr>
                <w:p w14:paraId="4A7330D4"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DELUCHIS</w:t>
                  </w:r>
                </w:p>
              </w:tc>
              <w:tc>
                <w:tcPr>
                  <w:tcW w:w="0" w:type="auto"/>
                  <w:shd w:val="clear" w:color="auto" w:fill="auto"/>
                  <w:noWrap/>
                  <w:textDirection w:val="btLr"/>
                  <w:vAlign w:val="center"/>
                  <w:hideMark/>
                </w:tcPr>
                <w:p w14:paraId="40251A65"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NERICON</w:t>
                  </w:r>
                </w:p>
              </w:tc>
              <w:tc>
                <w:tcPr>
                  <w:tcW w:w="0" w:type="auto"/>
                  <w:shd w:val="clear" w:color="auto" w:fill="auto"/>
                  <w:noWrap/>
                  <w:textDirection w:val="btLr"/>
                  <w:vAlign w:val="center"/>
                  <w:hideMark/>
                </w:tcPr>
                <w:p w14:paraId="6A726550"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APOLONIS</w:t>
                  </w:r>
                </w:p>
              </w:tc>
              <w:tc>
                <w:tcPr>
                  <w:tcW w:w="0" w:type="auto"/>
                  <w:shd w:val="clear" w:color="auto" w:fill="auto"/>
                  <w:noWrap/>
                  <w:textDirection w:val="btLr"/>
                  <w:vAlign w:val="center"/>
                  <w:hideMark/>
                </w:tcPr>
                <w:p w14:paraId="41A598FC"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OVERS</w:t>
                  </w:r>
                </w:p>
              </w:tc>
              <w:tc>
                <w:tcPr>
                  <w:tcW w:w="0" w:type="auto"/>
                  <w:shd w:val="clear" w:color="auto" w:fill="auto"/>
                  <w:noWrap/>
                  <w:textDirection w:val="btLr"/>
                  <w:vAlign w:val="center"/>
                  <w:hideMark/>
                </w:tcPr>
                <w:p w14:paraId="08EADD1B"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QUARRY</w:t>
                  </w:r>
                </w:p>
              </w:tc>
              <w:tc>
                <w:tcPr>
                  <w:tcW w:w="0" w:type="auto"/>
                  <w:shd w:val="clear" w:color="auto" w:fill="auto"/>
                  <w:noWrap/>
                  <w:textDirection w:val="btLr"/>
                  <w:vAlign w:val="center"/>
                  <w:hideMark/>
                </w:tcPr>
                <w:p w14:paraId="35311B51"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SCARFONES</w:t>
                  </w:r>
                </w:p>
              </w:tc>
              <w:tc>
                <w:tcPr>
                  <w:tcW w:w="0" w:type="auto"/>
                  <w:shd w:val="clear" w:color="auto" w:fill="auto"/>
                  <w:noWrap/>
                  <w:textDirection w:val="btLr"/>
                  <w:vAlign w:val="center"/>
                  <w:hideMark/>
                </w:tcPr>
                <w:p w14:paraId="37F1C958"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WOODS</w:t>
                  </w:r>
                </w:p>
              </w:tc>
              <w:tc>
                <w:tcPr>
                  <w:tcW w:w="0" w:type="auto"/>
                  <w:shd w:val="clear" w:color="auto" w:fill="auto"/>
                  <w:noWrap/>
                  <w:textDirection w:val="btLr"/>
                  <w:vAlign w:val="center"/>
                  <w:hideMark/>
                </w:tcPr>
                <w:p w14:paraId="51C6036B"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BOORGA</w:t>
                  </w:r>
                </w:p>
              </w:tc>
              <w:tc>
                <w:tcPr>
                  <w:tcW w:w="0" w:type="auto"/>
                  <w:shd w:val="clear" w:color="auto" w:fill="auto"/>
                  <w:noWrap/>
                  <w:textDirection w:val="btLr"/>
                  <w:vAlign w:val="center"/>
                  <w:hideMark/>
                </w:tcPr>
                <w:p w14:paraId="347E0088"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ROMBOLAS</w:t>
                  </w:r>
                </w:p>
              </w:tc>
              <w:tc>
                <w:tcPr>
                  <w:tcW w:w="0" w:type="auto"/>
                  <w:shd w:val="clear" w:color="auto" w:fill="auto"/>
                  <w:noWrap/>
                  <w:textDirection w:val="btLr"/>
                  <w:vAlign w:val="center"/>
                  <w:hideMark/>
                </w:tcPr>
                <w:p w14:paraId="60E72105"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AMAROS</w:t>
                  </w:r>
                </w:p>
              </w:tc>
              <w:tc>
                <w:tcPr>
                  <w:tcW w:w="0" w:type="auto"/>
                  <w:shd w:val="clear" w:color="auto" w:fill="auto"/>
                  <w:noWrap/>
                  <w:textDirection w:val="btLr"/>
                  <w:vAlign w:val="center"/>
                  <w:hideMark/>
                </w:tcPr>
                <w:p w14:paraId="1DEA9ED3"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LEXT4</w:t>
                  </w:r>
                </w:p>
              </w:tc>
              <w:tc>
                <w:tcPr>
                  <w:tcW w:w="0" w:type="auto"/>
                  <w:shd w:val="clear" w:color="auto" w:fill="auto"/>
                  <w:noWrap/>
                  <w:textDirection w:val="btLr"/>
                  <w:vAlign w:val="center"/>
                  <w:hideMark/>
                </w:tcPr>
                <w:p w14:paraId="4CDBCE9B"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LEXT5</w:t>
                  </w:r>
                </w:p>
              </w:tc>
              <w:tc>
                <w:tcPr>
                  <w:tcW w:w="0" w:type="auto"/>
                  <w:tcBorders>
                    <w:right w:val="double" w:sz="4" w:space="0" w:color="808080" w:themeColor="background1" w:themeShade="80"/>
                  </w:tcBorders>
                  <w:shd w:val="clear" w:color="auto" w:fill="auto"/>
                  <w:noWrap/>
                  <w:textDirection w:val="btLr"/>
                  <w:vAlign w:val="center"/>
                  <w:hideMark/>
                </w:tcPr>
                <w:p w14:paraId="2791F4DD"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LEXT6</w:t>
                  </w:r>
                </w:p>
              </w:tc>
              <w:tc>
                <w:tcPr>
                  <w:tcW w:w="0" w:type="auto"/>
                  <w:tcBorders>
                    <w:left w:val="double" w:sz="4" w:space="0" w:color="808080" w:themeColor="background1" w:themeShade="80"/>
                  </w:tcBorders>
                  <w:shd w:val="clear" w:color="auto" w:fill="auto"/>
                  <w:noWrap/>
                  <w:textDirection w:val="btLr"/>
                  <w:vAlign w:val="center"/>
                  <w:hideMark/>
                </w:tcPr>
                <w:p w14:paraId="256B92FC" w14:textId="77777777" w:rsidR="00AB7459" w:rsidRPr="001A02A1" w:rsidRDefault="00AB7459" w:rsidP="00AB7459">
                  <w:pPr>
                    <w:spacing w:after="0" w:line="240" w:lineRule="auto"/>
                    <w:ind w:left="113" w:right="113"/>
                    <w:rPr>
                      <w:rFonts w:eastAsia="Times New Roman" w:cstheme="minorHAnsi"/>
                      <w:b/>
                      <w:sz w:val="12"/>
                      <w:lang w:eastAsia="en-AU"/>
                    </w:rPr>
                  </w:pPr>
                  <w:r w:rsidRPr="001A02A1">
                    <w:rPr>
                      <w:rFonts w:eastAsia="Times New Roman" w:cstheme="minorHAnsi"/>
                      <w:b/>
                      <w:sz w:val="12"/>
                      <w:lang w:eastAsia="en-AU"/>
                    </w:rPr>
                    <w:t>TOTAL</w:t>
                  </w:r>
                </w:p>
              </w:tc>
            </w:tr>
            <w:tr w:rsidR="005C0AB0" w:rsidRPr="005C0AB0" w14:paraId="6CBB6759" w14:textId="77777777" w:rsidTr="005C0AB0">
              <w:trPr>
                <w:trHeight w:val="300"/>
              </w:trPr>
              <w:tc>
                <w:tcPr>
                  <w:tcW w:w="0" w:type="auto"/>
                  <w:tcBorders>
                    <w:top w:val="single" w:sz="4" w:space="0" w:color="808080" w:themeColor="background1" w:themeShade="80"/>
                  </w:tcBorders>
                  <w:shd w:val="clear" w:color="auto" w:fill="auto"/>
                  <w:noWrap/>
                  <w:vAlign w:val="center"/>
                  <w:hideMark/>
                </w:tcPr>
                <w:p w14:paraId="37E74B57" w14:textId="77777777" w:rsidR="00AB7459" w:rsidRPr="001A02A1" w:rsidRDefault="00AB7459" w:rsidP="00AB7459">
                  <w:pPr>
                    <w:spacing w:after="0" w:line="240" w:lineRule="auto"/>
                    <w:jc w:val="center"/>
                    <w:rPr>
                      <w:rFonts w:eastAsia="Times New Roman" w:cstheme="minorHAnsi"/>
                      <w:b/>
                      <w:sz w:val="12"/>
                      <w:lang w:eastAsia="en-AU"/>
                    </w:rPr>
                  </w:pPr>
                  <w:r w:rsidRPr="001A02A1">
                    <w:rPr>
                      <w:rFonts w:eastAsia="Times New Roman" w:cstheme="minorHAnsi"/>
                      <w:b/>
                      <w:sz w:val="12"/>
                      <w:lang w:eastAsia="en-AU"/>
                    </w:rPr>
                    <w:t>INTEGRATED</w:t>
                  </w:r>
                </w:p>
              </w:tc>
              <w:tc>
                <w:tcPr>
                  <w:tcW w:w="0" w:type="auto"/>
                  <w:shd w:val="clear" w:color="auto" w:fill="auto"/>
                  <w:noWrap/>
                  <w:vAlign w:val="bottom"/>
                  <w:hideMark/>
                </w:tcPr>
                <w:p w14:paraId="3F420F7D" w14:textId="0F1FCAAE"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200</w:t>
                  </w:r>
                  <w:r w:rsidRPr="005C0AB0">
                    <w:rPr>
                      <w:rFonts w:eastAsia="Times New Roman" w:cstheme="minorHAnsi"/>
                      <w:sz w:val="12"/>
                      <w:lang w:eastAsia="en-AU"/>
                    </w:rPr>
                    <w:t>.0</w:t>
                  </w:r>
                </w:p>
              </w:tc>
              <w:tc>
                <w:tcPr>
                  <w:tcW w:w="0" w:type="auto"/>
                  <w:shd w:val="clear" w:color="auto" w:fill="auto"/>
                  <w:noWrap/>
                  <w:vAlign w:val="bottom"/>
                  <w:hideMark/>
                </w:tcPr>
                <w:p w14:paraId="645901CE"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381.5</w:t>
                  </w:r>
                </w:p>
              </w:tc>
              <w:tc>
                <w:tcPr>
                  <w:tcW w:w="0" w:type="auto"/>
                  <w:shd w:val="clear" w:color="auto" w:fill="auto"/>
                  <w:noWrap/>
                  <w:vAlign w:val="bottom"/>
                  <w:hideMark/>
                </w:tcPr>
                <w:p w14:paraId="45A71C0B"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55.9</w:t>
                  </w:r>
                </w:p>
              </w:tc>
              <w:tc>
                <w:tcPr>
                  <w:tcW w:w="0" w:type="auto"/>
                  <w:shd w:val="clear" w:color="auto" w:fill="auto"/>
                  <w:noWrap/>
                  <w:vAlign w:val="bottom"/>
                  <w:hideMark/>
                </w:tcPr>
                <w:p w14:paraId="36EBB487"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0</w:t>
                  </w:r>
                </w:p>
              </w:tc>
              <w:tc>
                <w:tcPr>
                  <w:tcW w:w="0" w:type="auto"/>
                  <w:shd w:val="clear" w:color="auto" w:fill="auto"/>
                  <w:noWrap/>
                  <w:vAlign w:val="bottom"/>
                  <w:hideMark/>
                </w:tcPr>
                <w:p w14:paraId="0B79736A"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681.9</w:t>
                  </w:r>
                </w:p>
              </w:tc>
              <w:tc>
                <w:tcPr>
                  <w:tcW w:w="0" w:type="auto"/>
                  <w:shd w:val="clear" w:color="auto" w:fill="auto"/>
                  <w:noWrap/>
                  <w:vAlign w:val="bottom"/>
                  <w:hideMark/>
                </w:tcPr>
                <w:p w14:paraId="4D4D7137"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26.5</w:t>
                  </w:r>
                </w:p>
              </w:tc>
              <w:tc>
                <w:tcPr>
                  <w:tcW w:w="0" w:type="auto"/>
                  <w:shd w:val="clear" w:color="auto" w:fill="auto"/>
                  <w:noWrap/>
                  <w:vAlign w:val="bottom"/>
                  <w:hideMark/>
                </w:tcPr>
                <w:p w14:paraId="2EFD1E4D"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42.7</w:t>
                  </w:r>
                </w:p>
              </w:tc>
              <w:tc>
                <w:tcPr>
                  <w:tcW w:w="0" w:type="auto"/>
                  <w:shd w:val="clear" w:color="auto" w:fill="auto"/>
                  <w:noWrap/>
                  <w:vAlign w:val="bottom"/>
                  <w:hideMark/>
                </w:tcPr>
                <w:p w14:paraId="3F804936"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536.1</w:t>
                  </w:r>
                </w:p>
              </w:tc>
              <w:tc>
                <w:tcPr>
                  <w:tcW w:w="0" w:type="auto"/>
                  <w:shd w:val="clear" w:color="auto" w:fill="auto"/>
                  <w:noWrap/>
                  <w:vAlign w:val="bottom"/>
                  <w:hideMark/>
                </w:tcPr>
                <w:p w14:paraId="37858345"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111.4</w:t>
                  </w:r>
                </w:p>
              </w:tc>
              <w:tc>
                <w:tcPr>
                  <w:tcW w:w="0" w:type="auto"/>
                  <w:shd w:val="clear" w:color="auto" w:fill="auto"/>
                  <w:noWrap/>
                  <w:vAlign w:val="bottom"/>
                  <w:hideMark/>
                </w:tcPr>
                <w:p w14:paraId="1809C210"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288.9</w:t>
                  </w:r>
                </w:p>
              </w:tc>
              <w:tc>
                <w:tcPr>
                  <w:tcW w:w="0" w:type="auto"/>
                  <w:shd w:val="clear" w:color="auto" w:fill="auto"/>
                  <w:noWrap/>
                  <w:vAlign w:val="bottom"/>
                  <w:hideMark/>
                </w:tcPr>
                <w:p w14:paraId="4966AB0A"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172.3</w:t>
                  </w:r>
                </w:p>
              </w:tc>
              <w:tc>
                <w:tcPr>
                  <w:tcW w:w="0" w:type="auto"/>
                  <w:shd w:val="clear" w:color="auto" w:fill="auto"/>
                  <w:noWrap/>
                  <w:vAlign w:val="bottom"/>
                  <w:hideMark/>
                </w:tcPr>
                <w:p w14:paraId="02BC8690"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111</w:t>
                  </w:r>
                </w:p>
              </w:tc>
              <w:tc>
                <w:tcPr>
                  <w:tcW w:w="0" w:type="auto"/>
                  <w:shd w:val="clear" w:color="auto" w:fill="auto"/>
                  <w:noWrap/>
                  <w:vAlign w:val="bottom"/>
                  <w:hideMark/>
                </w:tcPr>
                <w:p w14:paraId="1582F352"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0</w:t>
                  </w:r>
                </w:p>
              </w:tc>
              <w:tc>
                <w:tcPr>
                  <w:tcW w:w="0" w:type="auto"/>
                  <w:shd w:val="clear" w:color="auto" w:fill="auto"/>
                  <w:noWrap/>
                  <w:vAlign w:val="bottom"/>
                  <w:hideMark/>
                </w:tcPr>
                <w:p w14:paraId="5BBD3C53"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203.4</w:t>
                  </w:r>
                </w:p>
              </w:tc>
              <w:tc>
                <w:tcPr>
                  <w:tcW w:w="0" w:type="auto"/>
                  <w:shd w:val="clear" w:color="auto" w:fill="auto"/>
                  <w:noWrap/>
                  <w:vAlign w:val="bottom"/>
                  <w:hideMark/>
                </w:tcPr>
                <w:p w14:paraId="05C01B17"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27.2</w:t>
                  </w:r>
                </w:p>
              </w:tc>
              <w:tc>
                <w:tcPr>
                  <w:tcW w:w="0" w:type="auto"/>
                  <w:tcBorders>
                    <w:right w:val="double" w:sz="4" w:space="0" w:color="808080" w:themeColor="background1" w:themeShade="80"/>
                  </w:tcBorders>
                  <w:shd w:val="clear" w:color="auto" w:fill="auto"/>
                  <w:noWrap/>
                  <w:vAlign w:val="bottom"/>
                  <w:hideMark/>
                </w:tcPr>
                <w:p w14:paraId="35DBFA27"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19.8</w:t>
                  </w:r>
                </w:p>
              </w:tc>
              <w:tc>
                <w:tcPr>
                  <w:tcW w:w="0" w:type="auto"/>
                  <w:tcBorders>
                    <w:left w:val="double" w:sz="4" w:space="0" w:color="808080" w:themeColor="background1" w:themeShade="80"/>
                  </w:tcBorders>
                  <w:shd w:val="clear" w:color="auto" w:fill="auto"/>
                  <w:noWrap/>
                  <w:vAlign w:val="bottom"/>
                  <w:hideMark/>
                </w:tcPr>
                <w:p w14:paraId="531877DE"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2858.6</w:t>
                  </w:r>
                </w:p>
              </w:tc>
            </w:tr>
            <w:tr w:rsidR="005C0AB0" w:rsidRPr="005C0AB0" w14:paraId="7933F1C5" w14:textId="77777777" w:rsidTr="005C0AB0">
              <w:trPr>
                <w:trHeight w:val="300"/>
              </w:trPr>
              <w:tc>
                <w:tcPr>
                  <w:tcW w:w="0" w:type="auto"/>
                  <w:shd w:val="clear" w:color="auto" w:fill="auto"/>
                  <w:noWrap/>
                  <w:vAlign w:val="center"/>
                  <w:hideMark/>
                </w:tcPr>
                <w:p w14:paraId="6C78AA28" w14:textId="77777777" w:rsidR="00AB7459" w:rsidRPr="001A02A1" w:rsidRDefault="00AB7459" w:rsidP="00AB7459">
                  <w:pPr>
                    <w:spacing w:after="0" w:line="240" w:lineRule="auto"/>
                    <w:jc w:val="center"/>
                    <w:rPr>
                      <w:rFonts w:eastAsia="Times New Roman" w:cstheme="minorHAnsi"/>
                      <w:b/>
                      <w:sz w:val="12"/>
                      <w:lang w:eastAsia="en-AU"/>
                    </w:rPr>
                  </w:pPr>
                  <w:r w:rsidRPr="001A02A1">
                    <w:rPr>
                      <w:rFonts w:eastAsia="Times New Roman" w:cstheme="minorHAnsi"/>
                      <w:b/>
                      <w:sz w:val="12"/>
                      <w:lang w:eastAsia="en-AU"/>
                    </w:rPr>
                    <w:t>RTU</w:t>
                  </w:r>
                </w:p>
              </w:tc>
              <w:tc>
                <w:tcPr>
                  <w:tcW w:w="0" w:type="auto"/>
                  <w:shd w:val="clear" w:color="auto" w:fill="auto"/>
                  <w:noWrap/>
                  <w:vAlign w:val="bottom"/>
                  <w:hideMark/>
                </w:tcPr>
                <w:p w14:paraId="6C249EDD"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164.8</w:t>
                  </w:r>
                </w:p>
              </w:tc>
              <w:tc>
                <w:tcPr>
                  <w:tcW w:w="0" w:type="auto"/>
                  <w:shd w:val="clear" w:color="auto" w:fill="auto"/>
                  <w:noWrap/>
                  <w:vAlign w:val="bottom"/>
                  <w:hideMark/>
                </w:tcPr>
                <w:p w14:paraId="53EF7880"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365.5</w:t>
                  </w:r>
                </w:p>
              </w:tc>
              <w:tc>
                <w:tcPr>
                  <w:tcW w:w="0" w:type="auto"/>
                  <w:shd w:val="clear" w:color="auto" w:fill="auto"/>
                  <w:noWrap/>
                  <w:vAlign w:val="bottom"/>
                  <w:hideMark/>
                </w:tcPr>
                <w:p w14:paraId="24EE95DA"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54.9</w:t>
                  </w:r>
                </w:p>
              </w:tc>
              <w:tc>
                <w:tcPr>
                  <w:tcW w:w="0" w:type="auto"/>
                  <w:shd w:val="clear" w:color="auto" w:fill="auto"/>
                  <w:noWrap/>
                  <w:vAlign w:val="bottom"/>
                  <w:hideMark/>
                </w:tcPr>
                <w:p w14:paraId="6FF78D61"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0</w:t>
                  </w:r>
                </w:p>
              </w:tc>
              <w:tc>
                <w:tcPr>
                  <w:tcW w:w="0" w:type="auto"/>
                  <w:shd w:val="clear" w:color="auto" w:fill="auto"/>
                  <w:noWrap/>
                  <w:vAlign w:val="bottom"/>
                  <w:hideMark/>
                </w:tcPr>
                <w:p w14:paraId="06F7C37E"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686.7</w:t>
                  </w:r>
                </w:p>
              </w:tc>
              <w:tc>
                <w:tcPr>
                  <w:tcW w:w="0" w:type="auto"/>
                  <w:shd w:val="clear" w:color="auto" w:fill="auto"/>
                  <w:noWrap/>
                  <w:vAlign w:val="bottom"/>
                  <w:hideMark/>
                </w:tcPr>
                <w:p w14:paraId="6A1378FC"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23.8</w:t>
                  </w:r>
                </w:p>
              </w:tc>
              <w:tc>
                <w:tcPr>
                  <w:tcW w:w="0" w:type="auto"/>
                  <w:shd w:val="clear" w:color="auto" w:fill="auto"/>
                  <w:noWrap/>
                  <w:vAlign w:val="bottom"/>
                  <w:hideMark/>
                </w:tcPr>
                <w:p w14:paraId="08154EF1"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42.8</w:t>
                  </w:r>
                </w:p>
              </w:tc>
              <w:tc>
                <w:tcPr>
                  <w:tcW w:w="0" w:type="auto"/>
                  <w:shd w:val="clear" w:color="auto" w:fill="auto"/>
                  <w:noWrap/>
                  <w:vAlign w:val="bottom"/>
                  <w:hideMark/>
                </w:tcPr>
                <w:p w14:paraId="34821C8A"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526.2</w:t>
                  </w:r>
                </w:p>
              </w:tc>
              <w:tc>
                <w:tcPr>
                  <w:tcW w:w="0" w:type="auto"/>
                  <w:shd w:val="clear" w:color="auto" w:fill="auto"/>
                  <w:noWrap/>
                  <w:vAlign w:val="bottom"/>
                  <w:hideMark/>
                </w:tcPr>
                <w:p w14:paraId="7E8D9B51"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114.3</w:t>
                  </w:r>
                </w:p>
              </w:tc>
              <w:tc>
                <w:tcPr>
                  <w:tcW w:w="0" w:type="auto"/>
                  <w:shd w:val="clear" w:color="auto" w:fill="auto"/>
                  <w:noWrap/>
                  <w:vAlign w:val="bottom"/>
                  <w:hideMark/>
                </w:tcPr>
                <w:p w14:paraId="198C73AE"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289.7</w:t>
                  </w:r>
                </w:p>
              </w:tc>
              <w:tc>
                <w:tcPr>
                  <w:tcW w:w="0" w:type="auto"/>
                  <w:shd w:val="clear" w:color="auto" w:fill="auto"/>
                  <w:noWrap/>
                  <w:vAlign w:val="bottom"/>
                  <w:hideMark/>
                </w:tcPr>
                <w:p w14:paraId="3C3E9A6D"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176.3</w:t>
                  </w:r>
                </w:p>
              </w:tc>
              <w:tc>
                <w:tcPr>
                  <w:tcW w:w="0" w:type="auto"/>
                  <w:shd w:val="clear" w:color="auto" w:fill="auto"/>
                  <w:noWrap/>
                  <w:vAlign w:val="bottom"/>
                  <w:hideMark/>
                </w:tcPr>
                <w:p w14:paraId="48B714A0"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112.5</w:t>
                  </w:r>
                </w:p>
              </w:tc>
              <w:tc>
                <w:tcPr>
                  <w:tcW w:w="0" w:type="auto"/>
                  <w:shd w:val="clear" w:color="auto" w:fill="auto"/>
                  <w:noWrap/>
                  <w:vAlign w:val="bottom"/>
                  <w:hideMark/>
                </w:tcPr>
                <w:p w14:paraId="329F0D7A"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0</w:t>
                  </w:r>
                </w:p>
              </w:tc>
              <w:tc>
                <w:tcPr>
                  <w:tcW w:w="0" w:type="auto"/>
                  <w:shd w:val="clear" w:color="auto" w:fill="auto"/>
                  <w:noWrap/>
                  <w:vAlign w:val="bottom"/>
                  <w:hideMark/>
                </w:tcPr>
                <w:p w14:paraId="1AD4C283"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203.3</w:t>
                  </w:r>
                </w:p>
              </w:tc>
              <w:tc>
                <w:tcPr>
                  <w:tcW w:w="0" w:type="auto"/>
                  <w:shd w:val="clear" w:color="auto" w:fill="auto"/>
                  <w:noWrap/>
                  <w:vAlign w:val="bottom"/>
                  <w:hideMark/>
                </w:tcPr>
                <w:p w14:paraId="6F36D01D"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26.1</w:t>
                  </w:r>
                </w:p>
              </w:tc>
              <w:tc>
                <w:tcPr>
                  <w:tcW w:w="0" w:type="auto"/>
                  <w:tcBorders>
                    <w:right w:val="double" w:sz="4" w:space="0" w:color="808080" w:themeColor="background1" w:themeShade="80"/>
                  </w:tcBorders>
                  <w:shd w:val="clear" w:color="auto" w:fill="auto"/>
                  <w:noWrap/>
                  <w:vAlign w:val="bottom"/>
                  <w:hideMark/>
                </w:tcPr>
                <w:p w14:paraId="24DACF0A"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19.3</w:t>
                  </w:r>
                </w:p>
              </w:tc>
              <w:tc>
                <w:tcPr>
                  <w:tcW w:w="0" w:type="auto"/>
                  <w:tcBorders>
                    <w:left w:val="double" w:sz="4" w:space="0" w:color="808080" w:themeColor="background1" w:themeShade="80"/>
                  </w:tcBorders>
                  <w:shd w:val="clear" w:color="auto" w:fill="auto"/>
                  <w:noWrap/>
                  <w:vAlign w:val="bottom"/>
                  <w:hideMark/>
                </w:tcPr>
                <w:p w14:paraId="794578B0"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2806.2</w:t>
                  </w:r>
                </w:p>
              </w:tc>
            </w:tr>
            <w:tr w:rsidR="005C0AB0" w:rsidRPr="005C0AB0" w14:paraId="14991496" w14:textId="77777777" w:rsidTr="005C0AB0">
              <w:trPr>
                <w:trHeight w:val="300"/>
              </w:trPr>
              <w:tc>
                <w:tcPr>
                  <w:tcW w:w="0" w:type="auto"/>
                  <w:shd w:val="clear" w:color="auto" w:fill="auto"/>
                  <w:noWrap/>
                  <w:vAlign w:val="center"/>
                  <w:hideMark/>
                </w:tcPr>
                <w:p w14:paraId="58CEF9E4" w14:textId="77777777" w:rsidR="00AB7459" w:rsidRPr="001A02A1" w:rsidRDefault="00AB7459" w:rsidP="00AB7459">
                  <w:pPr>
                    <w:spacing w:after="0" w:line="240" w:lineRule="auto"/>
                    <w:jc w:val="center"/>
                    <w:rPr>
                      <w:rFonts w:eastAsia="Times New Roman" w:cstheme="minorHAnsi"/>
                      <w:b/>
                      <w:sz w:val="12"/>
                      <w:lang w:eastAsia="en-AU"/>
                    </w:rPr>
                  </w:pPr>
                  <w:r w:rsidRPr="001A02A1">
                    <w:rPr>
                      <w:rFonts w:eastAsia="Times New Roman" w:cstheme="minorHAnsi"/>
                      <w:b/>
                      <w:sz w:val="12"/>
                      <w:lang w:eastAsia="en-AU"/>
                    </w:rPr>
                    <w:t>REPORTED</w:t>
                  </w:r>
                </w:p>
              </w:tc>
              <w:tc>
                <w:tcPr>
                  <w:tcW w:w="0" w:type="auto"/>
                  <w:shd w:val="clear" w:color="auto" w:fill="auto"/>
                  <w:noWrap/>
                  <w:vAlign w:val="bottom"/>
                  <w:hideMark/>
                </w:tcPr>
                <w:p w14:paraId="17558C41"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170.9</w:t>
                  </w:r>
                </w:p>
              </w:tc>
              <w:tc>
                <w:tcPr>
                  <w:tcW w:w="0" w:type="auto"/>
                  <w:shd w:val="clear" w:color="auto" w:fill="auto"/>
                  <w:noWrap/>
                  <w:vAlign w:val="bottom"/>
                  <w:hideMark/>
                </w:tcPr>
                <w:p w14:paraId="47F246B8"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367.3</w:t>
                  </w:r>
                </w:p>
              </w:tc>
              <w:tc>
                <w:tcPr>
                  <w:tcW w:w="0" w:type="auto"/>
                  <w:shd w:val="clear" w:color="auto" w:fill="auto"/>
                  <w:noWrap/>
                  <w:vAlign w:val="bottom"/>
                  <w:hideMark/>
                </w:tcPr>
                <w:p w14:paraId="348FE805"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56.1</w:t>
                  </w:r>
                </w:p>
              </w:tc>
              <w:tc>
                <w:tcPr>
                  <w:tcW w:w="0" w:type="auto"/>
                  <w:shd w:val="clear" w:color="auto" w:fill="auto"/>
                  <w:noWrap/>
                  <w:vAlign w:val="bottom"/>
                  <w:hideMark/>
                </w:tcPr>
                <w:p w14:paraId="0FC4E63B"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0</w:t>
                  </w:r>
                </w:p>
              </w:tc>
              <w:tc>
                <w:tcPr>
                  <w:tcW w:w="0" w:type="auto"/>
                  <w:shd w:val="clear" w:color="auto" w:fill="auto"/>
                  <w:noWrap/>
                  <w:vAlign w:val="bottom"/>
                  <w:hideMark/>
                </w:tcPr>
                <w:p w14:paraId="0FC113D1" w14:textId="77777777" w:rsidR="00AB7459" w:rsidRPr="001A02A1" w:rsidRDefault="00AB7459" w:rsidP="00AB7459">
                  <w:pPr>
                    <w:spacing w:after="0" w:line="240" w:lineRule="auto"/>
                    <w:jc w:val="right"/>
                    <w:rPr>
                      <w:rFonts w:eastAsia="Times New Roman" w:cstheme="minorHAnsi"/>
                      <w:b/>
                      <w:sz w:val="12"/>
                      <w:lang w:eastAsia="en-AU"/>
                    </w:rPr>
                  </w:pPr>
                  <w:r w:rsidRPr="001A02A1">
                    <w:rPr>
                      <w:rFonts w:eastAsia="Times New Roman" w:cstheme="minorHAnsi"/>
                      <w:b/>
                      <w:sz w:val="12"/>
                      <w:lang w:eastAsia="en-AU"/>
                    </w:rPr>
                    <w:t>974.4</w:t>
                  </w:r>
                </w:p>
              </w:tc>
              <w:tc>
                <w:tcPr>
                  <w:tcW w:w="0" w:type="auto"/>
                  <w:shd w:val="clear" w:color="auto" w:fill="auto"/>
                  <w:noWrap/>
                  <w:vAlign w:val="bottom"/>
                  <w:hideMark/>
                </w:tcPr>
                <w:p w14:paraId="7D21FD1B"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50.6</w:t>
                  </w:r>
                </w:p>
              </w:tc>
              <w:tc>
                <w:tcPr>
                  <w:tcW w:w="0" w:type="auto"/>
                  <w:shd w:val="clear" w:color="auto" w:fill="auto"/>
                  <w:noWrap/>
                  <w:vAlign w:val="bottom"/>
                  <w:hideMark/>
                </w:tcPr>
                <w:p w14:paraId="1BF80041" w14:textId="3E3BE5B9"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43</w:t>
                  </w:r>
                  <w:r w:rsidRPr="005C0AB0">
                    <w:rPr>
                      <w:rFonts w:eastAsia="Times New Roman" w:cstheme="minorHAnsi"/>
                      <w:sz w:val="12"/>
                      <w:lang w:eastAsia="en-AU"/>
                    </w:rPr>
                    <w:t>.0</w:t>
                  </w:r>
                </w:p>
              </w:tc>
              <w:tc>
                <w:tcPr>
                  <w:tcW w:w="0" w:type="auto"/>
                  <w:shd w:val="clear" w:color="auto" w:fill="auto"/>
                  <w:noWrap/>
                  <w:vAlign w:val="bottom"/>
                  <w:hideMark/>
                </w:tcPr>
                <w:p w14:paraId="142E7271"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544.8</w:t>
                  </w:r>
                </w:p>
              </w:tc>
              <w:tc>
                <w:tcPr>
                  <w:tcW w:w="0" w:type="auto"/>
                  <w:shd w:val="clear" w:color="auto" w:fill="auto"/>
                  <w:noWrap/>
                  <w:vAlign w:val="bottom"/>
                  <w:hideMark/>
                </w:tcPr>
                <w:p w14:paraId="54E90EB3"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105.3</w:t>
                  </w:r>
                </w:p>
              </w:tc>
              <w:tc>
                <w:tcPr>
                  <w:tcW w:w="0" w:type="auto"/>
                  <w:shd w:val="clear" w:color="auto" w:fill="auto"/>
                  <w:noWrap/>
                  <w:vAlign w:val="bottom"/>
                  <w:hideMark/>
                </w:tcPr>
                <w:p w14:paraId="0BE5C4F8"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307.5</w:t>
                  </w:r>
                </w:p>
              </w:tc>
              <w:tc>
                <w:tcPr>
                  <w:tcW w:w="0" w:type="auto"/>
                  <w:shd w:val="clear" w:color="auto" w:fill="auto"/>
                  <w:noWrap/>
                  <w:vAlign w:val="bottom"/>
                  <w:hideMark/>
                </w:tcPr>
                <w:p w14:paraId="08C20CB4" w14:textId="703140F5"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195</w:t>
                  </w:r>
                  <w:r w:rsidRPr="005C0AB0">
                    <w:rPr>
                      <w:rFonts w:eastAsia="Times New Roman" w:cstheme="minorHAnsi"/>
                      <w:sz w:val="12"/>
                      <w:lang w:eastAsia="en-AU"/>
                    </w:rPr>
                    <w:t>.0</w:t>
                  </w:r>
                </w:p>
              </w:tc>
              <w:tc>
                <w:tcPr>
                  <w:tcW w:w="0" w:type="auto"/>
                  <w:shd w:val="clear" w:color="auto" w:fill="auto"/>
                  <w:noWrap/>
                  <w:vAlign w:val="bottom"/>
                  <w:hideMark/>
                </w:tcPr>
                <w:p w14:paraId="176E081F" w14:textId="77777777" w:rsidR="00AB7459" w:rsidRPr="001A02A1" w:rsidRDefault="00AB7459" w:rsidP="00AB7459">
                  <w:pPr>
                    <w:spacing w:after="0" w:line="240" w:lineRule="auto"/>
                    <w:jc w:val="right"/>
                    <w:rPr>
                      <w:rFonts w:eastAsia="Times New Roman" w:cstheme="minorHAnsi"/>
                      <w:b/>
                      <w:sz w:val="12"/>
                      <w:lang w:eastAsia="en-AU"/>
                    </w:rPr>
                  </w:pPr>
                  <w:r w:rsidRPr="001A02A1">
                    <w:rPr>
                      <w:rFonts w:eastAsia="Times New Roman" w:cstheme="minorHAnsi"/>
                      <w:b/>
                      <w:sz w:val="12"/>
                      <w:lang w:eastAsia="en-AU"/>
                    </w:rPr>
                    <w:t>147.9</w:t>
                  </w:r>
                </w:p>
              </w:tc>
              <w:tc>
                <w:tcPr>
                  <w:tcW w:w="0" w:type="auto"/>
                  <w:shd w:val="clear" w:color="auto" w:fill="auto"/>
                  <w:noWrap/>
                  <w:vAlign w:val="bottom"/>
                  <w:hideMark/>
                </w:tcPr>
                <w:p w14:paraId="733A3F9C"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0</w:t>
                  </w:r>
                </w:p>
              </w:tc>
              <w:tc>
                <w:tcPr>
                  <w:tcW w:w="0" w:type="auto"/>
                  <w:shd w:val="clear" w:color="auto" w:fill="auto"/>
                  <w:noWrap/>
                  <w:vAlign w:val="bottom"/>
                  <w:hideMark/>
                </w:tcPr>
                <w:p w14:paraId="1CA74646"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201.3</w:t>
                  </w:r>
                </w:p>
              </w:tc>
              <w:tc>
                <w:tcPr>
                  <w:tcW w:w="0" w:type="auto"/>
                  <w:shd w:val="clear" w:color="auto" w:fill="auto"/>
                  <w:noWrap/>
                  <w:vAlign w:val="bottom"/>
                  <w:hideMark/>
                </w:tcPr>
                <w:p w14:paraId="583FB5FB"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18.6</w:t>
                  </w:r>
                </w:p>
              </w:tc>
              <w:tc>
                <w:tcPr>
                  <w:tcW w:w="0" w:type="auto"/>
                  <w:tcBorders>
                    <w:right w:val="double" w:sz="4" w:space="0" w:color="808080" w:themeColor="background1" w:themeShade="80"/>
                  </w:tcBorders>
                  <w:shd w:val="clear" w:color="auto" w:fill="auto"/>
                  <w:noWrap/>
                  <w:vAlign w:val="bottom"/>
                  <w:hideMark/>
                </w:tcPr>
                <w:p w14:paraId="1F355420"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14.1</w:t>
                  </w:r>
                </w:p>
              </w:tc>
              <w:tc>
                <w:tcPr>
                  <w:tcW w:w="0" w:type="auto"/>
                  <w:tcBorders>
                    <w:left w:val="double" w:sz="4" w:space="0" w:color="808080" w:themeColor="background1" w:themeShade="80"/>
                  </w:tcBorders>
                  <w:shd w:val="clear" w:color="auto" w:fill="auto"/>
                  <w:noWrap/>
                  <w:vAlign w:val="bottom"/>
                  <w:hideMark/>
                </w:tcPr>
                <w:p w14:paraId="5BE8FF5A" w14:textId="77777777" w:rsidR="00AB7459" w:rsidRPr="001A02A1" w:rsidRDefault="00AB7459" w:rsidP="00AB7459">
                  <w:pPr>
                    <w:spacing w:after="0" w:line="240" w:lineRule="auto"/>
                    <w:jc w:val="right"/>
                    <w:rPr>
                      <w:rFonts w:eastAsia="Times New Roman" w:cstheme="minorHAnsi"/>
                      <w:sz w:val="12"/>
                      <w:lang w:eastAsia="en-AU"/>
                    </w:rPr>
                  </w:pPr>
                  <w:r w:rsidRPr="001A02A1">
                    <w:rPr>
                      <w:rFonts w:eastAsia="Times New Roman" w:cstheme="minorHAnsi"/>
                      <w:sz w:val="12"/>
                      <w:lang w:eastAsia="en-AU"/>
                    </w:rPr>
                    <w:t>3196.8</w:t>
                  </w:r>
                </w:p>
              </w:tc>
            </w:tr>
          </w:tbl>
          <w:p w14:paraId="526D4FAD" w14:textId="77777777" w:rsidR="00AB7459" w:rsidRDefault="00AB7459" w:rsidP="00AB7459">
            <w:pPr>
              <w:keepNext/>
            </w:pPr>
          </w:p>
        </w:tc>
      </w:tr>
    </w:tbl>
    <w:p w14:paraId="3E5B3FAE" w14:textId="143A3255" w:rsidR="00246EFE" w:rsidRDefault="00AB7459" w:rsidP="00AB7459">
      <w:pPr>
        <w:pStyle w:val="Caption"/>
      </w:pPr>
      <w:bookmarkStart w:id="8" w:name="_Ref27129686"/>
      <w:r>
        <w:t xml:space="preserve">Figure </w:t>
      </w:r>
      <w:fldSimple w:instr=" SEQ Figure \* ARABIC ">
        <w:r w:rsidR="00BE645E">
          <w:rPr>
            <w:noProof/>
          </w:rPr>
          <w:t>6</w:t>
        </w:r>
      </w:fldSimple>
      <w:bookmarkEnd w:id="8"/>
      <w:r>
        <w:t xml:space="preserve">: Comparison between our methods and the RUBICON report for </w:t>
      </w:r>
      <w:r w:rsidR="00B16124">
        <w:t xml:space="preserve">deliveries within each pool. </w:t>
      </w:r>
      <w:r w:rsidR="00C920B5" w:rsidRPr="0009795F">
        <w:rPr>
          <w:b/>
        </w:rPr>
        <w:t>Note</w:t>
      </w:r>
      <w:r w:rsidR="0009795F">
        <w:rPr>
          <w:b/>
        </w:rPr>
        <w:t>:</w:t>
      </w:r>
      <w:r w:rsidR="00C920B5">
        <w:t xml:space="preserve"> </w:t>
      </w:r>
      <w:proofErr w:type="gramStart"/>
      <w:r w:rsidR="00C920B5">
        <w:t>the</w:t>
      </w:r>
      <w:proofErr w:type="gramEnd"/>
      <w:r w:rsidR="00C920B5">
        <w:t xml:space="preserve"> Volume axis in the graph is scaled logarithmically so that errors are visible. Differences </w:t>
      </w:r>
      <w:r w:rsidR="005C0AB0">
        <w:t xml:space="preserve">can </w:t>
      </w:r>
      <w:r w:rsidR="00C920B5">
        <w:t>appear smaller than they are (see Nericon).</w:t>
      </w:r>
    </w:p>
    <w:p w14:paraId="063BE011" w14:textId="546519DA" w:rsidR="00A94CB7" w:rsidRDefault="008A06D8" w:rsidP="00A94CB7">
      <w:r>
        <w:t>The REPORT values for Nericon</w:t>
      </w:r>
      <w:r w:rsidR="00D30960">
        <w:t xml:space="preserve"> did not at all match our calculations. Some of these deviations can be down to values from the RUBICON that</w:t>
      </w:r>
      <w:r>
        <w:t xml:space="preserve"> had to be </w:t>
      </w:r>
      <w:r w:rsidR="00D30960">
        <w:t xml:space="preserve">inferred. Rubicon splits Lateral 175 from the Nericon pool and does its own pool calculations, introducing errors in their report. OT L175 (the slipmeter at the offtake) has been in position mode and held open for the last several months and so its flow calculation is wrong </w:t>
      </w:r>
      <w:r w:rsidR="00AC702D">
        <w:t xml:space="preserve">as </w:t>
      </w:r>
      <w:r w:rsidR="00D30960">
        <w:t>the offtake hasn’t been regulating. It reports ~ 50ML of flow going into LAT175 whilst the meters within LAT175 have consumed 898.5 ML (according to RUBICON)</w:t>
      </w:r>
      <w:r w:rsidR="00A72669">
        <w:t>, this drastically affected their balance calculations (as IN was &lt;&lt; OUT)</w:t>
      </w:r>
      <w:r w:rsidR="00D30960">
        <w:t xml:space="preserve">. We added the values of Nericon and LAT175 together to </w:t>
      </w:r>
      <w:r w:rsidR="00A72669">
        <w:t xml:space="preserve">make a concise representation of the Nericon Pool. As mentioned earlier, the RUBICON estimates LAT 175 deliveries at 898.5 ML. We made our own calculations of LAT 175 and our models calculate 595.4 ML and 616.0 ML for INTEGRATED and RTU respectively. This is the source for the difference in Nericon in </w:t>
      </w:r>
      <w:r w:rsidR="00A72669">
        <w:fldChar w:fldCharType="begin"/>
      </w:r>
      <w:r w:rsidR="00A72669">
        <w:instrText xml:space="preserve"> REF _Ref27129686 \h </w:instrText>
      </w:r>
      <w:r w:rsidR="00A72669">
        <w:fldChar w:fldCharType="separate"/>
      </w:r>
      <w:r w:rsidR="00BE645E">
        <w:t xml:space="preserve">Figure </w:t>
      </w:r>
      <w:r w:rsidR="00BE645E">
        <w:rPr>
          <w:noProof/>
        </w:rPr>
        <w:t>6</w:t>
      </w:r>
      <w:r w:rsidR="00A72669">
        <w:fldChar w:fldCharType="end"/>
      </w:r>
      <w:r w:rsidR="00A72669">
        <w:t>. The reason for this difference is still under speculation. We know that 9 out of 30 of the meters in LAT 175 have no telemetry, and LAT175 contains facilities for L</w:t>
      </w:r>
      <w:r w:rsidR="00A72669" w:rsidRPr="00A72669">
        <w:t xml:space="preserve">ake </w:t>
      </w:r>
      <w:proofErr w:type="spellStart"/>
      <w:r w:rsidR="00A72669">
        <w:t>W</w:t>
      </w:r>
      <w:r w:rsidR="00A72669" w:rsidRPr="00A72669">
        <w:t>yangan</w:t>
      </w:r>
      <w:proofErr w:type="spellEnd"/>
      <w:r w:rsidR="00A72669">
        <w:t xml:space="preserve">, we conclude that further inspection is required. </w:t>
      </w:r>
    </w:p>
    <w:p w14:paraId="46FAF8BA" w14:textId="499C0E52" w:rsidR="0009795F" w:rsidRDefault="0009795F" w:rsidP="00A94CB7">
      <w:bookmarkStart w:id="9" w:name="_GoBack"/>
      <w:bookmarkEnd w:id="9"/>
      <w:r>
        <w:t xml:space="preserve">The balances were calculated for each method for comparison with RUBICON’s Gap columns and have been summarised in </w:t>
      </w:r>
      <w:r>
        <w:fldChar w:fldCharType="begin"/>
      </w:r>
      <w:r>
        <w:instrText xml:space="preserve"> REF _Ref27134165 \h </w:instrText>
      </w:r>
      <w:r>
        <w:fldChar w:fldCharType="separate"/>
      </w:r>
      <w:r w:rsidR="00BE645E">
        <w:t xml:space="preserve">Figure </w:t>
      </w:r>
      <w:r w:rsidR="00BE645E">
        <w:rPr>
          <w:noProof/>
        </w:rPr>
        <w:t>7</w:t>
      </w:r>
      <w:r>
        <w:fldChar w:fldCharType="end"/>
      </w:r>
      <w:r>
        <w:t xml:space="preserve">. </w:t>
      </w:r>
      <w:r w:rsidR="00D8432A">
        <w:t xml:space="preserve">In </w:t>
      </w:r>
      <w:proofErr w:type="gramStart"/>
      <w:r w:rsidR="00D8432A">
        <w:t>general</w:t>
      </w:r>
      <w:proofErr w:type="gramEnd"/>
      <w:r w:rsidR="00D8432A">
        <w:t xml:space="preserve"> we expected the balances to be positive as no system is 100% efficient. </w:t>
      </w:r>
    </w:p>
    <w:p w14:paraId="0B0FC27B" w14:textId="76A4A55F" w:rsidR="0009795F" w:rsidRDefault="0009795F" w:rsidP="0009795F"/>
    <w:p w14:paraId="53FFC36B" w14:textId="77777777" w:rsidR="0009795F" w:rsidRDefault="0009795F" w:rsidP="0009795F">
      <w:pPr>
        <w:keepNext/>
      </w:pPr>
      <w:r>
        <w:rPr>
          <w:noProof/>
        </w:rPr>
        <w:lastRenderedPageBreak/>
        <w:drawing>
          <wp:inline distT="0" distB="0" distL="0" distR="0" wp14:anchorId="039EC423" wp14:editId="500D2114">
            <wp:extent cx="5610438" cy="3655970"/>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26427" cy="3666389"/>
                    </a:xfrm>
                    <a:prstGeom prst="rect">
                      <a:avLst/>
                    </a:prstGeom>
                    <a:noFill/>
                  </pic:spPr>
                </pic:pic>
              </a:graphicData>
            </a:graphic>
          </wp:inline>
        </w:drawing>
      </w:r>
    </w:p>
    <w:p w14:paraId="256932A9" w14:textId="0857C293" w:rsidR="0009795F" w:rsidRDefault="0009795F" w:rsidP="0009795F">
      <w:pPr>
        <w:pStyle w:val="Caption"/>
      </w:pPr>
      <w:bookmarkStart w:id="10" w:name="_Ref27134165"/>
      <w:r>
        <w:t xml:space="preserve">Figure </w:t>
      </w:r>
      <w:fldSimple w:instr=" SEQ Figure \* ARABIC ">
        <w:r w:rsidR="00BE645E">
          <w:rPr>
            <w:noProof/>
          </w:rPr>
          <w:t>7</w:t>
        </w:r>
      </w:fldSimple>
      <w:bookmarkEnd w:id="10"/>
      <w:r>
        <w:t>: The water balances of the pools in Lake View for the Oct-Nov period. Negative values indicate that more water left the system than has entered. Positive values indicate that more water was sent into the pool than was consumed and/or exited the pool.</w:t>
      </w:r>
    </w:p>
    <w:p w14:paraId="78DCB935" w14:textId="289777B7" w:rsidR="0009795F" w:rsidRDefault="0009795F" w:rsidP="0009795F">
      <w:r>
        <w:t xml:space="preserve">When examining </w:t>
      </w:r>
      <w:r>
        <w:fldChar w:fldCharType="begin"/>
      </w:r>
      <w:r>
        <w:instrText xml:space="preserve"> REF _Ref27134165 \h </w:instrText>
      </w:r>
      <w:r>
        <w:fldChar w:fldCharType="separate"/>
      </w:r>
      <w:r w:rsidR="00BE645E">
        <w:t xml:space="preserve">Figure </w:t>
      </w:r>
      <w:r w:rsidR="00BE645E">
        <w:rPr>
          <w:noProof/>
        </w:rPr>
        <w:t>7</w:t>
      </w:r>
      <w:r>
        <w:fldChar w:fldCharType="end"/>
      </w:r>
      <w:r>
        <w:t xml:space="preserve"> one may note that both </w:t>
      </w:r>
      <w:proofErr w:type="spellStart"/>
      <w:r>
        <w:t>Scotts</w:t>
      </w:r>
      <w:proofErr w:type="spellEnd"/>
      <w:r>
        <w:t xml:space="preserve"> and </w:t>
      </w:r>
      <w:proofErr w:type="spellStart"/>
      <w:r w:rsidR="00D8432A">
        <w:t>Deluchis</w:t>
      </w:r>
      <w:proofErr w:type="spellEnd"/>
      <w:r>
        <w:t xml:space="preserve"> have significantly negative balances. Is it possible their pools contain unknown aquifers or springs? Unfortunately</w:t>
      </w:r>
      <w:r w:rsidR="00D8432A">
        <w:t>,</w:t>
      </w:r>
      <w:r>
        <w:t xml:space="preserve"> this isn’t the case.</w:t>
      </w:r>
      <w:r w:rsidR="00D8432A">
        <w:t xml:space="preserve"> It seems the difference in meter values between the flow in and flow out are negative. This indicates that either the regulators are underestimating their flow, or their downstream </w:t>
      </w:r>
      <w:r w:rsidR="00D8432A">
        <w:t xml:space="preserve">regulator </w:t>
      </w:r>
      <w:r w:rsidR="00D8432A">
        <w:t>are significantly overestimating. The negative values at Overs and Woods cannot be so simply explained and requires further investigation.</w:t>
      </w:r>
    </w:p>
    <w:p w14:paraId="4F792841" w14:textId="609BC557" w:rsidR="008042B6" w:rsidRPr="0009795F" w:rsidRDefault="00D8432A" w:rsidP="0009795F">
      <w:r>
        <w:t>In general, there is reasonable agreement in balance between our methods and RUBICON. Our methods usually calculate a higher balance, indicating that</w:t>
      </w:r>
      <w:r w:rsidR="008042B6">
        <w:t xml:space="preserve"> the pools</w:t>
      </w:r>
      <w:r>
        <w:t xml:space="preserve"> in our calculations </w:t>
      </w:r>
      <w:r w:rsidR="008042B6">
        <w:t xml:space="preserve">are consuming water that we haven’t factored – it is reasonable to consider the meters without telemetry are reason for this. </w:t>
      </w:r>
      <w:r>
        <w:t>The large disagreement at Nericon is as discussed previously in the deliveries.</w:t>
      </w:r>
    </w:p>
    <w:p w14:paraId="235D2F6A" w14:textId="48F0A8FC" w:rsidR="008042B6" w:rsidRPr="008042B6" w:rsidRDefault="003B466D" w:rsidP="008042B6">
      <w:pPr>
        <w:pStyle w:val="Heading2"/>
      </w:pPr>
      <w:r>
        <w:t>Conclusion</w:t>
      </w:r>
      <w:r w:rsidR="00F928F0">
        <w:t xml:space="preserve"> and further work</w:t>
      </w:r>
    </w:p>
    <w:p w14:paraId="478F46BC" w14:textId="53DBE93F" w:rsidR="008042B6" w:rsidRDefault="008042B6" w:rsidP="00F928F0">
      <w:pPr>
        <w:pStyle w:val="ListParagraph"/>
        <w:numPr>
          <w:ilvl w:val="0"/>
          <w:numId w:val="1"/>
        </w:numPr>
      </w:pPr>
      <w:r>
        <w:t xml:space="preserve">Using the confidence gained in the development and explorations of these tools it is possible to generate an entire branch efficiency. </w:t>
      </w:r>
    </w:p>
    <w:p w14:paraId="7125ACA7" w14:textId="46A07F28" w:rsidR="00F928F0" w:rsidRPr="00F928F0" w:rsidRDefault="00435FEA" w:rsidP="00F928F0">
      <w:pPr>
        <w:pStyle w:val="ListParagraph"/>
        <w:numPr>
          <w:ilvl w:val="0"/>
          <w:numId w:val="1"/>
        </w:numPr>
      </w:pPr>
      <w:r>
        <w:t>Some assumptions we have made about RUBICON</w:t>
      </w:r>
      <w:r w:rsidR="008042B6">
        <w:t>’</w:t>
      </w:r>
      <w:r>
        <w:t>s water balance are correct</w:t>
      </w:r>
      <w:r w:rsidR="008042B6">
        <w:t xml:space="preserve"> (data sources, branch topology, object numbers)</w:t>
      </w:r>
      <w:r w:rsidR="00A72669">
        <w:t>.</w:t>
      </w:r>
    </w:p>
    <w:p w14:paraId="4D5D6FB0" w14:textId="7FB29DC5" w:rsidR="00F928F0" w:rsidRDefault="00F928F0" w:rsidP="00F928F0">
      <w:pPr>
        <w:pStyle w:val="ListParagraph"/>
        <w:numPr>
          <w:ilvl w:val="0"/>
          <w:numId w:val="1"/>
        </w:numPr>
      </w:pPr>
      <w:r>
        <w:t>Need</w:t>
      </w:r>
      <w:r w:rsidR="008042B6">
        <w:t xml:space="preserve"> to</w:t>
      </w:r>
      <w:r>
        <w:t xml:space="preserve"> incorporate unmetered data such as sites without telemetry</w:t>
      </w:r>
    </w:p>
    <w:p w14:paraId="539DCD95" w14:textId="2C0FDCD4" w:rsidR="00A72669" w:rsidRDefault="00F928F0" w:rsidP="00A72669">
      <w:pPr>
        <w:pStyle w:val="ListParagraph"/>
        <w:numPr>
          <w:ilvl w:val="0"/>
          <w:numId w:val="1"/>
        </w:numPr>
      </w:pPr>
      <w:r>
        <w:t>Need to estimate/calculate seepage and evaporation which requires the need to include channels in the topology and their dimensions</w:t>
      </w:r>
      <w:r w:rsidR="008042B6">
        <w:t xml:space="preserve">. </w:t>
      </w:r>
    </w:p>
    <w:p w14:paraId="370CEAD5" w14:textId="746EA430" w:rsidR="00A72669" w:rsidRDefault="00A72669" w:rsidP="00A72669">
      <w:pPr>
        <w:pStyle w:val="ListParagraph"/>
        <w:numPr>
          <w:ilvl w:val="0"/>
          <w:numId w:val="1"/>
        </w:numPr>
      </w:pPr>
      <w:r>
        <w:t>These tools are very pertinent to honours project (leak detection) and will continue to be developed and maintained for future use.</w:t>
      </w:r>
    </w:p>
    <w:p w14:paraId="56D8ECD3" w14:textId="77777777" w:rsidR="003B466D" w:rsidRPr="003B466D" w:rsidRDefault="003B466D" w:rsidP="003B466D"/>
    <w:sectPr w:rsidR="003B466D" w:rsidRPr="003B466D" w:rsidSect="00C920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545E4" w14:textId="77777777" w:rsidR="00C306E7" w:rsidRDefault="00C306E7" w:rsidP="00D74E15">
      <w:pPr>
        <w:spacing w:after="0" w:line="240" w:lineRule="auto"/>
      </w:pPr>
      <w:r>
        <w:separator/>
      </w:r>
    </w:p>
  </w:endnote>
  <w:endnote w:type="continuationSeparator" w:id="0">
    <w:p w14:paraId="19B0D086" w14:textId="77777777" w:rsidR="00C306E7" w:rsidRDefault="00C306E7" w:rsidP="00D7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8D9DE" w14:textId="77777777" w:rsidR="00C306E7" w:rsidRDefault="00C306E7" w:rsidP="00D74E15">
      <w:pPr>
        <w:spacing w:after="0" w:line="240" w:lineRule="auto"/>
      </w:pPr>
      <w:r>
        <w:separator/>
      </w:r>
    </w:p>
  </w:footnote>
  <w:footnote w:type="continuationSeparator" w:id="0">
    <w:p w14:paraId="6A2338DE" w14:textId="77777777" w:rsidR="00C306E7" w:rsidRDefault="00C306E7" w:rsidP="00D74E15">
      <w:pPr>
        <w:spacing w:after="0" w:line="240" w:lineRule="auto"/>
      </w:pPr>
      <w:r>
        <w:continuationSeparator/>
      </w:r>
    </w:p>
  </w:footnote>
  <w:footnote w:id="1">
    <w:p w14:paraId="6C8CFD37" w14:textId="77777777" w:rsidR="00A94CB7" w:rsidRPr="001C1AF3" w:rsidRDefault="00A94CB7" w:rsidP="002F3F60">
      <w:pPr>
        <w:pStyle w:val="FootnoteText"/>
      </w:pPr>
      <w:r w:rsidRPr="001C1AF3">
        <w:rPr>
          <w:rStyle w:val="FootnoteReference"/>
        </w:rPr>
        <w:footnoteRef/>
      </w:r>
      <w:r w:rsidRPr="001C1AF3">
        <w:t xml:space="preserve"> For the purpose of this study a pool is anything between two main branch regulators.</w:t>
      </w:r>
    </w:p>
  </w:footnote>
  <w:footnote w:id="2">
    <w:p w14:paraId="77DB1EB6" w14:textId="77777777" w:rsidR="00A94CB7" w:rsidRDefault="00A94CB7">
      <w:pPr>
        <w:pStyle w:val="FootnoteText"/>
      </w:pPr>
      <w:r w:rsidRPr="001C1AF3">
        <w:rPr>
          <w:rStyle w:val="FootnoteReference"/>
        </w:rPr>
        <w:footnoteRef/>
      </w:r>
      <w:r w:rsidRPr="001C1AF3">
        <w:t xml:space="preserve"> The unique identifier for each object in the MI databases. The object number ties all the information about that asset; e.g. flow, gate position, battery voltage, etc.</w:t>
      </w:r>
    </w:p>
  </w:footnote>
  <w:footnote w:id="3">
    <w:p w14:paraId="2AE7E2E5" w14:textId="77777777" w:rsidR="00A94CB7" w:rsidRDefault="00A94CB7">
      <w:pPr>
        <w:pStyle w:val="FootnoteText"/>
      </w:pPr>
      <w:r>
        <w:rPr>
          <w:rStyle w:val="FootnoteReference"/>
        </w:rPr>
        <w:footnoteRef/>
      </w:r>
      <w:r>
        <w:t xml:space="preserve"> Unmetered flows are any flow that is not described in the events database; meters without telemetry, unauthorised access, leaks.</w:t>
      </w:r>
    </w:p>
  </w:footnote>
  <w:footnote w:id="4">
    <w:p w14:paraId="094F9C50" w14:textId="701ED609" w:rsidR="008A06D8" w:rsidRDefault="008A06D8">
      <w:pPr>
        <w:pStyle w:val="FootnoteText"/>
      </w:pPr>
      <w:r>
        <w:rPr>
          <w:rStyle w:val="FootnoteReference"/>
        </w:rPr>
        <w:footnoteRef/>
      </w:r>
      <w:r>
        <w:t xml:space="preserve"> Remote Terminal Unit – the controller that manages control signals at a gate or meter. It reports back to MI over the SCADA network.</w:t>
      </w:r>
    </w:p>
  </w:footnote>
  <w:footnote w:id="5">
    <w:p w14:paraId="00EA52CA" w14:textId="326D15D1" w:rsidR="00B16124" w:rsidRDefault="00B16124">
      <w:pPr>
        <w:pStyle w:val="FootnoteText"/>
      </w:pPr>
      <w:r>
        <w:rPr>
          <w:rStyle w:val="FootnoteReference"/>
        </w:rPr>
        <w:footnoteRef/>
      </w:r>
      <w:r>
        <w:t xml:space="preserve"> In this case a “Meter” is any property meter</w:t>
      </w:r>
      <w:r w:rsidR="00F05EF5">
        <w:t xml:space="preserve"> or</w:t>
      </w:r>
      <w:r>
        <w:t xml:space="preserve"> escape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449CD"/>
    <w:multiLevelType w:val="hybridMultilevel"/>
    <w:tmpl w:val="7188D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66D"/>
    <w:rsid w:val="00077791"/>
    <w:rsid w:val="000937F1"/>
    <w:rsid w:val="0009795F"/>
    <w:rsid w:val="000A78FB"/>
    <w:rsid w:val="001578CB"/>
    <w:rsid w:val="001A02A1"/>
    <w:rsid w:val="001C1AF3"/>
    <w:rsid w:val="001E01BB"/>
    <w:rsid w:val="0023490A"/>
    <w:rsid w:val="0024213C"/>
    <w:rsid w:val="00246EFE"/>
    <w:rsid w:val="00260633"/>
    <w:rsid w:val="00297112"/>
    <w:rsid w:val="002C65B9"/>
    <w:rsid w:val="002F3F60"/>
    <w:rsid w:val="003178FA"/>
    <w:rsid w:val="00327F12"/>
    <w:rsid w:val="003B466D"/>
    <w:rsid w:val="003C4CB8"/>
    <w:rsid w:val="003D401D"/>
    <w:rsid w:val="00414802"/>
    <w:rsid w:val="00435FEA"/>
    <w:rsid w:val="004B5CE4"/>
    <w:rsid w:val="004E3D0A"/>
    <w:rsid w:val="00560AEB"/>
    <w:rsid w:val="00565C35"/>
    <w:rsid w:val="00593677"/>
    <w:rsid w:val="005C0AB0"/>
    <w:rsid w:val="0065004E"/>
    <w:rsid w:val="00737E62"/>
    <w:rsid w:val="00781A73"/>
    <w:rsid w:val="007C6922"/>
    <w:rsid w:val="007F554C"/>
    <w:rsid w:val="008042B6"/>
    <w:rsid w:val="00874D29"/>
    <w:rsid w:val="00894D7C"/>
    <w:rsid w:val="008A06D8"/>
    <w:rsid w:val="008D3543"/>
    <w:rsid w:val="008E1702"/>
    <w:rsid w:val="0092693E"/>
    <w:rsid w:val="00957B53"/>
    <w:rsid w:val="009B4264"/>
    <w:rsid w:val="00A035C9"/>
    <w:rsid w:val="00A72669"/>
    <w:rsid w:val="00A94CB7"/>
    <w:rsid w:val="00AB7459"/>
    <w:rsid w:val="00AC702D"/>
    <w:rsid w:val="00AD39C3"/>
    <w:rsid w:val="00B16124"/>
    <w:rsid w:val="00BD2301"/>
    <w:rsid w:val="00BE645E"/>
    <w:rsid w:val="00C306E7"/>
    <w:rsid w:val="00C72985"/>
    <w:rsid w:val="00C920B5"/>
    <w:rsid w:val="00CC0930"/>
    <w:rsid w:val="00CE0E1F"/>
    <w:rsid w:val="00D30960"/>
    <w:rsid w:val="00D74E15"/>
    <w:rsid w:val="00D8432A"/>
    <w:rsid w:val="00DD5BE1"/>
    <w:rsid w:val="00EA51B8"/>
    <w:rsid w:val="00EE2C4A"/>
    <w:rsid w:val="00F05EF5"/>
    <w:rsid w:val="00F251DD"/>
    <w:rsid w:val="00F928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03598"/>
  <w15:chartTrackingRefBased/>
  <w15:docId w15:val="{31B92863-9761-4946-9364-D26DC61F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66D"/>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3B466D"/>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8D3543"/>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66D"/>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3B466D"/>
    <w:rPr>
      <w:rFonts w:asciiTheme="majorHAnsi" w:eastAsiaTheme="majorEastAsia" w:hAnsiTheme="majorHAnsi" w:cstheme="majorBidi"/>
      <w:color w:val="374C80" w:themeColor="accent1" w:themeShade="BF"/>
      <w:sz w:val="26"/>
      <w:szCs w:val="26"/>
    </w:rPr>
  </w:style>
  <w:style w:type="paragraph" w:styleId="FootnoteText">
    <w:name w:val="footnote text"/>
    <w:basedOn w:val="Normal"/>
    <w:link w:val="FootnoteTextChar"/>
    <w:uiPriority w:val="99"/>
    <w:semiHidden/>
    <w:unhideWhenUsed/>
    <w:rsid w:val="00D74E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4E15"/>
    <w:rPr>
      <w:sz w:val="20"/>
      <w:szCs w:val="20"/>
    </w:rPr>
  </w:style>
  <w:style w:type="character" w:styleId="FootnoteReference">
    <w:name w:val="footnote reference"/>
    <w:basedOn w:val="DefaultParagraphFont"/>
    <w:uiPriority w:val="99"/>
    <w:semiHidden/>
    <w:unhideWhenUsed/>
    <w:rsid w:val="00D74E15"/>
    <w:rPr>
      <w:vertAlign w:val="superscript"/>
    </w:rPr>
  </w:style>
  <w:style w:type="table" w:styleId="TableGrid">
    <w:name w:val="Table Grid"/>
    <w:basedOn w:val="TableNormal"/>
    <w:uiPriority w:val="39"/>
    <w:rsid w:val="002C6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C65B9"/>
    <w:pPr>
      <w:spacing w:after="0" w:line="240" w:lineRule="auto"/>
    </w:pPr>
  </w:style>
  <w:style w:type="paragraph" w:styleId="Caption">
    <w:name w:val="caption"/>
    <w:basedOn w:val="Normal"/>
    <w:next w:val="Normal"/>
    <w:uiPriority w:val="35"/>
    <w:unhideWhenUsed/>
    <w:qFormat/>
    <w:rsid w:val="00560AEB"/>
    <w:pPr>
      <w:spacing w:after="200" w:line="240" w:lineRule="auto"/>
    </w:pPr>
    <w:rPr>
      <w:i/>
      <w:iCs/>
      <w:color w:val="242852" w:themeColor="text2"/>
      <w:sz w:val="18"/>
      <w:szCs w:val="18"/>
    </w:rPr>
  </w:style>
  <w:style w:type="paragraph" w:styleId="Header">
    <w:name w:val="header"/>
    <w:basedOn w:val="Normal"/>
    <w:link w:val="HeaderChar"/>
    <w:uiPriority w:val="99"/>
    <w:unhideWhenUsed/>
    <w:rsid w:val="002F3F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F60"/>
  </w:style>
  <w:style w:type="paragraph" w:styleId="Footer">
    <w:name w:val="footer"/>
    <w:basedOn w:val="Normal"/>
    <w:link w:val="FooterChar"/>
    <w:uiPriority w:val="99"/>
    <w:unhideWhenUsed/>
    <w:rsid w:val="002F3F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F60"/>
  </w:style>
  <w:style w:type="character" w:customStyle="1" w:styleId="Heading3Char">
    <w:name w:val="Heading 3 Char"/>
    <w:basedOn w:val="DefaultParagraphFont"/>
    <w:link w:val="Heading3"/>
    <w:uiPriority w:val="9"/>
    <w:rsid w:val="008D3543"/>
    <w:rPr>
      <w:rFonts w:asciiTheme="majorHAnsi" w:eastAsiaTheme="majorEastAsia" w:hAnsiTheme="majorHAnsi" w:cstheme="majorBidi"/>
      <w:color w:val="243255" w:themeColor="accent1" w:themeShade="7F"/>
      <w:sz w:val="24"/>
      <w:szCs w:val="24"/>
    </w:rPr>
  </w:style>
  <w:style w:type="paragraph" w:styleId="BalloonText">
    <w:name w:val="Balloon Text"/>
    <w:basedOn w:val="Normal"/>
    <w:link w:val="BalloonTextChar"/>
    <w:uiPriority w:val="99"/>
    <w:semiHidden/>
    <w:unhideWhenUsed/>
    <w:rsid w:val="008D35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543"/>
    <w:rPr>
      <w:rFonts w:ascii="Segoe UI" w:hAnsi="Segoe UI" w:cs="Segoe UI"/>
      <w:sz w:val="18"/>
      <w:szCs w:val="18"/>
    </w:rPr>
  </w:style>
  <w:style w:type="paragraph" w:styleId="ListParagraph">
    <w:name w:val="List Paragraph"/>
    <w:basedOn w:val="Normal"/>
    <w:uiPriority w:val="34"/>
    <w:qFormat/>
    <w:rsid w:val="00F92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25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2C652-B411-4857-9152-4B674BE01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7</Pages>
  <Words>2159</Words>
  <Characters>12311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Hutchinson</dc:creator>
  <cp:keywords/>
  <dc:description/>
  <cp:lastModifiedBy>Sam Hutchinson</cp:lastModifiedBy>
  <cp:revision>15</cp:revision>
  <cp:lastPrinted>2019-12-13T03:00:00Z</cp:lastPrinted>
  <dcterms:created xsi:type="dcterms:W3CDTF">2019-12-12T06:13:00Z</dcterms:created>
  <dcterms:modified xsi:type="dcterms:W3CDTF">2019-12-13T04:54:00Z</dcterms:modified>
</cp:coreProperties>
</file>