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960" w:after="240" w:line="300" w:lineRule="auto"/>
        <w:jc w:val="center"/>
      </w:pPr>
      <w:r>
        <w:rPr>
          <w:rFonts w:ascii="Arial Unicode MS" w:hAnsi="Arial Unicode MS" w:eastAsia="Arial Unicode MS"/>
          <w:b/>
          <w:color w:val="2F6B9A"/>
          <w:sz w:val="24"/>
        </w:rPr>
        <w:t>元序AI · 产品设计参考</w:t>
      </w:r>
    </w:p>
    <w:p>
      <w:pPr>
        <w:keepNext w:val="0"/>
        <w:spacing w:before="0" w:after="200" w:line="240" w:lineRule="auto"/>
        <w:jc w:val="center"/>
      </w:pPr>
      <w:r>
        <w:rPr>
          <w:rFonts w:ascii="Arial Unicode MS" w:hAnsi="Arial Unicode MS" w:eastAsia="Arial Unicode MS"/>
          <w:b/>
          <w:color w:val="17365D"/>
          <w:sz w:val="50"/>
        </w:rPr>
        <w:t>需求分析Agent设计说明</w:t>
      </w:r>
    </w:p>
    <w:p>
      <w:pPr>
        <w:keepNext w:val="0"/>
        <w:spacing w:before="0" w:after="140" w:line="240" w:lineRule="auto"/>
        <w:jc w:val="center"/>
      </w:pPr>
      <w:r>
        <w:rPr>
          <w:rFonts w:ascii="Arial Unicode MS" w:hAnsi="Arial Unicode MS" w:eastAsia="Arial Unicode MS"/>
          <w:b/>
          <w:color w:val="17365D"/>
          <w:sz w:val="40"/>
        </w:rPr>
        <w:t>及 AI 产品需求文档（PRD）模板</w:t>
      </w:r>
    </w:p>
    <w:p>
      <w:pPr>
        <w:keepNext w:val="0"/>
        <w:spacing w:before="0" w:after="520" w:line="300" w:lineRule="auto"/>
        <w:jc w:val="center"/>
      </w:pPr>
      <w:r>
        <w:rPr>
          <w:rFonts w:ascii="Arial Unicode MS" w:hAnsi="Arial Unicode MS" w:eastAsia="Arial Unicode MS"/>
          <w:color w:val="2F6B9A"/>
          <w:sz w:val="25"/>
        </w:rPr>
        <w:t>从需求输入、智能分析、人工复核到研发评审准入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21"/>
              </w:rPr>
              <w:t xml:space="preserve">适用对象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AI产品经理、研发负责人、项目经理、解决方案顾问、测试负责人及需要建立企业需求治理机制的团队。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2041"/>
        <w:gridCol w:w="3515"/>
        <w:gridCol w:w="3515"/>
      </w:tblGrid>
      <w:tr>
        <w:trPr>
          <w:tblHeader w:val="true"/>
          <w:cantSplit w:val="true"/>
        </w:trPr>
        <w:tc>
          <w:tcPr>
            <w:tcW w:type="dxa" w:w="204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51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51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需求分析Agent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定义产品定位、能力边界、输入输出、流程、评测与验收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用于产品设计、研发拆解和试点验证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AI产品PRD模板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覆盖业务需求、AI能力、数据、安全、评测、灰度和验收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复制模板后按章节填写并进入评审</w:t>
            </w:r>
          </w:p>
        </w:tc>
      </w:tr>
    </w:tbl>
    <w:p>
      <w:pPr>
        <w:spacing w:after="40"/>
      </w:pPr>
    </w:p>
    <w:p>
      <w:pPr>
        <w:keepNext w:val="0"/>
        <w:spacing w:before="360" w:after="120" w:line="300" w:lineRule="auto"/>
        <w:jc w:val="center"/>
      </w:pPr>
      <w:r>
        <w:rPr>
          <w:rFonts w:ascii="Arial Unicode MS" w:hAnsi="Arial Unicode MS" w:eastAsia="Arial Unicode MS"/>
          <w:color w:val="68717A"/>
          <w:sz w:val="18"/>
        </w:rPr>
        <w:t>版本：V1.0　｜　编制日期：2026年6月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65D"/>
          <w:sz w:val="32"/>
        </w:rPr>
        <w:t>第一部分　需求分析Agent设计说明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21"/>
              </w:rPr>
              <w:t xml:space="preserve">一句话定义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需求分析Agent是面向产品研发场景的智能需求质检与结构化分析助手，对PRD、用户故事、验收标准和原型说明进行完整性、一致性、边界性与可测试性检查，输出问题清单、风险等级、修改建议及可供后续Agent消费的结构化结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1. 产品定位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928"/>
        <w:gridCol w:w="7143"/>
      </w:tblGrid>
      <w:tr>
        <w:trPr>
          <w:tblHeader w:val="true"/>
          <w:cantSplit w:val="true"/>
        </w:trPr>
        <w:tc>
          <w:tcPr>
            <w:tcW w:type="dxa" w:w="19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目标用户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产品经理、业务分析师、项目经理、研发负责人、测试负责人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核心场景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PRD初稿自检、研发评审前准入、需求变更影响分析、客户需求转产品需求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核心价值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降低遗漏与歧义，提高验收标准可测试性，提前暴露交付风险，减少评审返工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工作方式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规则检查 + 大模型语义分析 + 企业知识库检索 + 人工复核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产品形态</w:t>
            </w:r>
          </w:p>
        </w:tc>
        <w:tc>
          <w:tcPr>
            <w:tcW w:type="dxa" w:w="7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独立分析入口、项目流程节点、API服务或Agent协同链路中的专用节点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2. 目标与非目标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7365D"/>
          <w:sz w:val="23"/>
        </w:rPr>
        <w:t>2.1 目标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在研发评审前识别需求缺失、表达歧义、逻辑冲突、异常边界缺口和不可测试验收标准。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把非结构化PRD转换为模块、角色、流程、规则、数据、接口、权限、验收标准等结构化对象。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基于企业模板、历史需求和治理规则给出可追溯的修改建议。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向风险识别Agent、测试设计Agent和项目复盘Agent提供标准化输入。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7365D"/>
          <w:sz w:val="23"/>
        </w:rPr>
        <w:t>2.2 非目标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不替代产品负责人进行业务决策、范围确认或需求最终批准。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未经明确授权，不自动修改源PRD、不发布需求、不通知外部人员。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不对市场收益、技术工期或法律合规作无依据的确定性承诺。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不把模型推断结果包装为真实客户反馈、已验证数据或正式法律意见。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3. 输入定义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701"/>
        <w:gridCol w:w="3402"/>
        <w:gridCol w:w="1134"/>
        <w:gridCol w:w="2835"/>
      </w:tblGrid>
      <w:tr>
        <w:trPr>
          <w:tblHeader w:val="true"/>
          <w:cantSplit w:val="true"/>
        </w:trPr>
        <w:tc>
          <w:tcPr>
            <w:tcW w:type="dxa" w:w="170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340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内容示例</w:t>
            </w:r>
          </w:p>
        </w:tc>
        <w:tc>
          <w:tcPr>
            <w:tcW w:type="dxa" w:w="113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83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核心需求资料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PRD、需求说明、用户故事、验收标准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是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解析正文、标题层级、表格、附件引用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业务背景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目标、用户、场景、流程、业务规则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建议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用于判断需求合理性与上下文完整性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交互资料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原型图、页面说明、状态与交互规则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按需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提取页面、动作、状态及异常反馈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项目约束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版本、范围、资源、时间、依赖系统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建议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用于识别范围与交付风险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企业知识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PRD模板、术语库、制度、历史项目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按需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仅检索当前用户有权访问的内容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分析配置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检查维度、评分权重、阈值、输出格式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是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支持组织级默认值与项目级覆盖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3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A85B00"/>
                <w:sz w:val="21"/>
              </w:rPr>
              <w:t xml:space="preserve">输入前置校验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检查文件类型、大小、可读取性、权限、敏感数据标记及版本号。无法解析、内容为空、权限不足或疑似包含未授权敏感信息时，应停止分析并提示处理原因。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4. 输出定义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14"/>
        <w:gridCol w:w="4309"/>
        <w:gridCol w:w="2948"/>
      </w:tblGrid>
      <w:tr>
        <w:trPr>
          <w:tblHeader w:val="true"/>
          <w:cantSplit w:val="true"/>
        </w:trPr>
        <w:tc>
          <w:tcPr>
            <w:tcW w:type="dxa" w:w="181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输出对象</w:t>
            </w:r>
          </w:p>
        </w:tc>
        <w:tc>
          <w:tcPr>
            <w:tcW w:type="dxa" w:w="4309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29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下游用途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需求质量总览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总分、等级、各维度得分、准入结论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评审准入与管理看板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问题清单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问题描述、证据位置、类型、等级、影响范围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产品经理逐项修订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修改建议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建议文本、补充字段、参考规则、修改优先级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辅助完善PRD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待确认问题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问题、建议确认人、阻塞关系、期望答复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评审会议与责任分配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结构化需求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模块、角色、场景、流程、规则、数据、权限、验收标准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研发拆解和测试设计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风险摘要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交付、技术、数据、合规、安全、依赖风险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风险识别Agent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分析追溯信息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文档版本、规则版本、模型版本、知识来源、时间</w:t>
            </w:r>
          </w:p>
        </w:tc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审计、复现与效果评估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5. 分析维度与评分模型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14"/>
        <w:gridCol w:w="5783"/>
        <w:gridCol w:w="1474"/>
      </w:tblGrid>
      <w:tr>
        <w:trPr>
          <w:tblHeader w:val="true"/>
          <w:cantSplit w:val="true"/>
        </w:trPr>
        <w:tc>
          <w:tcPr>
            <w:tcW w:type="dxa" w:w="181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783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检查重点</w:t>
            </w:r>
          </w:p>
        </w:tc>
        <w:tc>
          <w:tcPr>
            <w:tcW w:type="dxa" w:w="147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权重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目标与价值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业务问题、用户价值、目标指标是否明确且可验证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范围完整性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范围内、范围外、版本边界、角色与场景是否完整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流程与规则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主流程、分支、状态流转、业务规则及优先级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异常与边界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空值、超时、失败、重复、并发、权限不足及恢复策略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数据与权限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字段口径、来源、生命周期、角色权限及敏感等级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依赖与约束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外部系统、资源、时间、兼容性及前置条件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验收可测试性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Given-When-Then、阈值、错误提示、可观测结果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AI专项完整性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模型、Prompt、知识库、工具权限、人工复核、降级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文档规范性</w:t>
            </w:r>
          </w:p>
        </w:tc>
        <w:tc>
          <w:tcPr>
            <w:tcW w:type="dxa" w:w="57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术语一致、编号、引用、变更记录及责任人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237A4B"/>
                <w:sz w:val="21"/>
              </w:rPr>
              <w:t xml:space="preserve">建议准入规则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80分及以上可进入正式评审；70-79分有条件进入，P0问题必须为0；70分以下退回修改。任何数据越权、无人工兜底的高风险动作、关键验收不可测试或核心流程缺失，均作为硬性打回项。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6. 核心工作流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资料接收与权限校验。</w:t>
      </w:r>
      <w:r>
        <w:rPr>
          <w:rFonts w:ascii="Arial Unicode MS" w:hAnsi="Arial Unicode MS" w:eastAsia="Arial Unicode MS"/>
          <w:color w:val="1F252B"/>
          <w:sz w:val="21"/>
        </w:rPr>
        <w:t>识别文档版本、来源、访问权限、敏感等级和分析配置。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内容解析与结构化。</w:t>
      </w:r>
      <w:r>
        <w:rPr>
          <w:rFonts w:ascii="Arial Unicode MS" w:hAnsi="Arial Unicode MS" w:eastAsia="Arial Unicode MS"/>
          <w:color w:val="1F252B"/>
          <w:sz w:val="21"/>
        </w:rPr>
        <w:t>提取标题、段落、表格、图片说明及需求对象，建立文档位置索引。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规则检查。</w:t>
      </w:r>
      <w:r>
        <w:rPr>
          <w:rFonts w:ascii="Arial Unicode MS" w:hAnsi="Arial Unicode MS" w:eastAsia="Arial Unicode MS"/>
          <w:color w:val="1F252B"/>
          <w:sz w:val="21"/>
        </w:rPr>
        <w:t>按企业模板和确定性规则检查必填项、格式、状态、字段和引用关系。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语义分析。</w:t>
      </w:r>
      <w:r>
        <w:rPr>
          <w:rFonts w:ascii="Arial Unicode MS" w:hAnsi="Arial Unicode MS" w:eastAsia="Arial Unicode MS"/>
          <w:color w:val="1F252B"/>
          <w:sz w:val="21"/>
        </w:rPr>
        <w:t>识别歧义、冲突、隐含假设、角色缺失、异常边界和验收不可测试问题。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知识检索。</w:t>
      </w:r>
      <w:r>
        <w:rPr>
          <w:rFonts w:ascii="Arial Unicode MS" w:hAnsi="Arial Unicode MS" w:eastAsia="Arial Unicode MS"/>
          <w:color w:val="1F252B"/>
          <w:sz w:val="21"/>
        </w:rPr>
        <w:t>在授权范围内检索制度、术语、历史需求和最佳实践，并记录引用来源。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评分与风险分级。</w:t>
      </w:r>
      <w:r>
        <w:rPr>
          <w:rFonts w:ascii="Arial Unicode MS" w:hAnsi="Arial Unicode MS" w:eastAsia="Arial Unicode MS"/>
          <w:color w:val="1F252B"/>
          <w:sz w:val="21"/>
        </w:rPr>
        <w:t>计算维度得分，按P0/P1/P2或高/中/低划分问题优先级。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生成分析结果。</w:t>
      </w:r>
      <w:r>
        <w:rPr>
          <w:rFonts w:ascii="Arial Unicode MS" w:hAnsi="Arial Unicode MS" w:eastAsia="Arial Unicode MS"/>
          <w:color w:val="1F252B"/>
          <w:sz w:val="21"/>
        </w:rPr>
        <w:t>输出总览、问题清单、建议文本、待确认问题和结构化结果。</w:t>
      </w:r>
    </w:p>
    <w:p>
      <w:pPr>
        <w:pStyle w:val="ListNumber"/>
        <w:keepNext w:val="0"/>
        <w:spacing w:before="0" w:after="100" w:line="295" w:lineRule="auto"/>
        <w:ind w:left="539" w:hanging="272"/>
      </w:pPr>
      <w:r>
        <w:rPr>
          <w:rFonts w:ascii="Arial Unicode MS" w:hAnsi="Arial Unicode MS" w:eastAsia="Arial Unicode MS"/>
          <w:b/>
          <w:color w:val="17365D"/>
          <w:sz w:val="21"/>
        </w:rPr>
        <w:t>人工复核与反馈闭环。</w:t>
      </w:r>
      <w:r>
        <w:rPr>
          <w:rFonts w:ascii="Arial Unicode MS" w:hAnsi="Arial Unicode MS" w:eastAsia="Arial Unicode MS"/>
          <w:color w:val="1F252B"/>
          <w:sz w:val="21"/>
        </w:rPr>
        <w:t>由责任人确认、驳回或采纳建议，反馈用于规则和评测集优化。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7. 问题等级规则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361"/>
        <w:gridCol w:w="2494"/>
        <w:gridCol w:w="3005"/>
        <w:gridCol w:w="2211"/>
      </w:tblGrid>
      <w:tr>
        <w:trPr>
          <w:tblHeader w:val="true"/>
          <w:cantSplit w:val="true"/>
        </w:trPr>
        <w:tc>
          <w:tcPr>
            <w:tcW w:type="dxa" w:w="136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49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00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21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P0 阻断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可能造成资金、数据、安全、合规事故或核心流程不可用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越权访问、支付幂等缺失、无人工确认的高风险外部操作</w:t>
            </w:r>
          </w:p>
        </w:tc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修复后方可评审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P1 高优先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高概率造成返工、延期、验收失败或严重体验问题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关键异常未定义、核心验收不可测试、依赖未确认</w:t>
            </w:r>
          </w:p>
        </w:tc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评审前完成或明确负责人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P2 一般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影响清晰度、规范性或局部体验，但不阻断主流程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术语不一致、提示文案缺失、次要场景不完整</w:t>
            </w:r>
          </w:p>
        </w:tc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排期修复并跟踪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建议项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优化建议或最佳实践，不影响当前版本准入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指标补充、结构优化、未来扩展建议</w:t>
            </w:r>
          </w:p>
        </w:tc>
        <w:tc>
          <w:tcPr>
            <w:tcW w:type="dxa" w:w="2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由产品负责人决定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8. 多Agent协同关系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984"/>
        <w:gridCol w:w="4082"/>
        <w:gridCol w:w="3005"/>
      </w:tblGrid>
      <w:tr>
        <w:trPr>
          <w:tblHeader w:val="true"/>
          <w:cantSplit w:val="true"/>
        </w:trPr>
        <w:tc>
          <w:tcPr>
            <w:tcW w:type="dxa" w:w="19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上/下游Agent</w:t>
            </w:r>
          </w:p>
        </w:tc>
        <w:tc>
          <w:tcPr>
            <w:tcW w:type="dxa" w:w="408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交互内容</w:t>
            </w:r>
          </w:p>
        </w:tc>
        <w:tc>
          <w:tcPr>
            <w:tcW w:type="dxa" w:w="300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知识检索Agent</w:t>
            </w:r>
          </w:p>
        </w:tc>
        <w:tc>
          <w:tcPr>
            <w:tcW w:type="dxa" w:w="40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提供企业模板、术语、制度和历史需求片段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必须返回来源、权限及版本信息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风险识别Agent</w:t>
            </w:r>
          </w:p>
        </w:tc>
        <w:tc>
          <w:tcPr>
            <w:tcW w:type="dxa" w:w="40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接收问题、依赖、权限、数据及异常边界结果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负责跨项目和交付风险，不重复做基础完整性检查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测试设计Agent</w:t>
            </w:r>
          </w:p>
        </w:tc>
        <w:tc>
          <w:tcPr>
            <w:tcW w:type="dxa" w:w="40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接收结构化场景、规则和验收标准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生成测试建议，不自动写入测试管理系统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项目复盘Agent</w:t>
            </w:r>
          </w:p>
        </w:tc>
        <w:tc>
          <w:tcPr>
            <w:tcW w:type="dxa" w:w="40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使用需求质量、变更和缺陷关联数据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用于复盘，不反向篡改历史分析结果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人工复核节点</w:t>
            </w:r>
          </w:p>
        </w:tc>
        <w:tc>
          <w:tcPr>
            <w:tcW w:type="dxa" w:w="408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确认P0/P1问题、建议采纳和准入结论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保留责任人、时间和处理意见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9. 权限、数据与安全设计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最小权限：默认只读，只访问用户当前可见的项目、文件和知识库。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动作分级：读取/分析可自动执行；修改、发布、通知、删除或外部调用必须单独授权。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敏感数据：识别个人信息、商业秘密和凭证；必要时脱敏后再发送至模型。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数据隔离：不同企业、空间和项目之间不得交叉检索或共享上下文。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可追溯：记录输入版本、模型、Prompt、规则、知识引用、工具调用及人工决定。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输出标识：明确“AI辅助分析”，区分事实、规则命中、模型推断和建议。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安全降级：模型、知识库或工具不可用时，保留规则检查并说明未完成项目。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10. 异常处理与降级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14"/>
        <w:gridCol w:w="4025"/>
        <w:gridCol w:w="3231"/>
      </w:tblGrid>
      <w:tr>
        <w:trPr>
          <w:tblHeader w:val="true"/>
          <w:cantSplit w:val="true"/>
        </w:trPr>
        <w:tc>
          <w:tcPr>
            <w:tcW w:type="dxa" w:w="181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402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23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用户提示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文档无法解析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停止语义分析，保留基础元数据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说明文件格式或损坏原因并建议重新上传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知识库不可用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继续执行规则与通用语义分析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标记未使用企业知识，结果可信度降低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模型超时/失败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按策略重试，失败后切换备用模型或规则模式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展示已完成与未完成维度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权限不足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不请求越权数据，不静默跳过关键依赖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列出缺少权限的对象及申请方式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结果冲突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保留不同证据与结论，交由人工复核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标记冲突来源和建议确认人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高风险输出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禁止自动执行后续高风险动作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强制进入人工复核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11. 评测指标与验收标准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928"/>
        <w:gridCol w:w="4309"/>
        <w:gridCol w:w="2835"/>
      </w:tblGrid>
      <w:tr>
        <w:trPr>
          <w:tblHeader w:val="true"/>
          <w:cantSplit w:val="true"/>
        </w:trPr>
        <w:tc>
          <w:tcPr>
            <w:tcW w:type="dxa" w:w="19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09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3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MVP建议目标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问题召回率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标准评测集中应发现问题的命中比例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P0 ≥ 95%，P1 ≥ 85%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问题准确率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输出问题中经人工确认有效的比例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整体 ≥ 80%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误报率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经人工确认不成立的问题比例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≤ 20%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证据定位准确率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问题引用的章节/原文位置正确比例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≥ 95%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建议可采纳率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建议被直接或修改后采纳的比例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≥ 65%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结构化字段准确率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模块、规则、角色、验收等字段抽取正确率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≥ 90%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P95分析时长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从提交到返回完整结果的95分位时长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≤ 5分钟/5万字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人工复核覆盖率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高风险结论进入人工复核的比例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12. MVP功能范围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支持DOCX、PDF和在线文档文本导入。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支持完整性、异常边界、验收可测试性、依赖和AI专项五类核心检查。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输出100分评分、P0-P2问题清单、证据位置、修改建议和待确认问题。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支持企业模板与术语库检索，展示知识来源。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支持分析结果人工确认、驳回、备注和导出。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暂不支持自动修改源文档、自动发起评审或跨系统写入。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7365D"/>
          <w:sz w:val="23"/>
        </w:rPr>
        <w:t>12.1 分阶段路线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417"/>
        <w:gridCol w:w="4819"/>
        <w:gridCol w:w="2835"/>
      </w:tblGrid>
      <w:tr>
        <w:trPr>
          <w:tblHeader w:val="true"/>
          <w:cantSplit w:val="true"/>
        </w:trPr>
        <w:tc>
          <w:tcPr>
            <w:tcW w:type="dxa" w:w="141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19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重点能力</w:t>
            </w:r>
          </w:p>
        </w:tc>
        <w:tc>
          <w:tcPr>
            <w:tcW w:type="dxa" w:w="283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退出标准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MVP</w:t>
            </w:r>
          </w:p>
        </w:tc>
        <w:tc>
          <w:tcPr>
            <w:tcW w:type="dxa" w:w="48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文档导入、五类检查、评分、问题清单、证据定位、人工反馈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核心评测指标达标，可在内部项目稳定使用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试点</w:t>
            </w:r>
          </w:p>
        </w:tc>
        <w:tc>
          <w:tcPr>
            <w:tcW w:type="dxa" w:w="48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企业模板、知识库、项目配置、分析历史、协同Agent接口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完成2-3个真实场景试点，建议采纳率达到目标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产品化</w:t>
            </w:r>
          </w:p>
        </w:tc>
        <w:tc>
          <w:tcPr>
            <w:tcW w:type="dxa" w:w="481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权限体系、租户隔离、监控告警、成本治理、模型与规则运营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具备标准部署、审计、灰度、回滚和客户交付能力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7365D"/>
          <w:sz w:val="23"/>
        </w:rPr>
        <w:t>12.2 关键里程碑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color w:val="1F252B"/>
                <w:sz w:val="21"/>
              </w:rPr>
              <w:t>需求冻结 → 规则与Prompt基线完成 → 黄金评测集完成 → 内部联调 → 安全与权限测试 → 试点灰度 → 效果复盘 → 产品化发布。每个里程碑均需保存版本、负责人、评测结果和准入结论。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65D"/>
          <w:sz w:val="32"/>
        </w:rPr>
        <w:t>第二部分　AI产品需求文档（PRD）模板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21"/>
              </w:rPr>
              <w:t xml:space="preserve">使用方法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复制本部分作为新PRD；不适用章节注明“不适用+原因”，不得直接删除AI安全、数据、评测、权限、灰度和验收章节。所有目标、指标和承诺必须有负责人及验证方式。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0. 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2268"/>
        <w:gridCol w:w="6803"/>
      </w:tblGrid>
      <w:tr>
        <w:trPr>
          <w:tblHeader w:val="true"/>
          <w:cantSplit w:val="true"/>
        </w:trPr>
        <w:tc>
          <w:tcPr>
            <w:tcW w:type="dxa" w:w="22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需求名称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产品/项目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需求负责人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【填写姓名/角色】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版本号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需求状态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草稿 / 评审中 / 已确认 / 开发中 / 已上线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计划发布日期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【YYYY-MM-DD】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相关文档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原型、调研、技术方案、数据说明、评测报告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1. 需求摘要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一句话需求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用一句话说明为谁、解决什么问题、通过什么能力、产生什么价值。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Arial Unicode MS" w:hAnsi="Arial Unicode MS" w:eastAsia="Arial Unicode MS"/>
                <w:b/>
                <w:color w:val="68717A"/>
                <w:sz w:val="18"/>
              </w:rPr>
              <w:t>示例：</w:t>
            </w:r>
            <w:r>
              <w:rPr>
                <w:rFonts w:ascii="Arial Unicode MS" w:hAnsi="Arial Unicode MS" w:eastAsia="Arial Unicode MS"/>
                <w:color w:val="68717A"/>
                <w:sz w:val="18"/>
              </w:rPr>
              <w:t>为企业研发团队提供AI需求质量检查，降低评审返工和交付风险。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核心结论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说明本次评审需要确认的关键方案、范围、资源或风险。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上线条件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列出允许上线的前提，例如评测达标、合规通过、灰度方案就绪。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2. 背景与问题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业务背景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描述现状、业务流程、组织环境和问题出现的原因。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用户问题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使用事实或数据描述用户当前的困难、频率、影响和替代方案。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机会判断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说明为什么现在做、预期收益及不做的成本。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证据来源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列出调研、数据、工单、访谈、竞品或历史项目，禁止把推测写成事实。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3. 目标、指标与非目标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531"/>
        <w:gridCol w:w="3231"/>
        <w:gridCol w:w="2835"/>
        <w:gridCol w:w="1474"/>
      </w:tblGrid>
      <w:tr>
        <w:trPr>
          <w:tblHeader w:val="true"/>
          <w:cantSplit w:val="true"/>
        </w:trPr>
        <w:tc>
          <w:tcPr>
            <w:tcW w:type="dxa" w:w="153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3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指标/验证方式</w:t>
            </w:r>
          </w:p>
        </w:tc>
        <w:tc>
          <w:tcPr>
            <w:tcW w:type="dxa" w:w="147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业务目标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【如：评审返工次数下降30%】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用户目标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【如：单份PRD检查时间降至5分钟】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AI效果目标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【如：P0召回率≥95%】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非目标</w:t>
            </w:r>
          </w:p>
        </w:tc>
        <w:tc>
          <w:tcPr>
            <w:tcW w:type="dxa" w:w="32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【明确本期不解决的问题】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范围变更需重新评审</w:t>
            </w:r>
          </w:p>
        </w:tc>
        <w:tc>
          <w:tcPr>
            <w:tcW w:type="dxa" w:w="14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4. 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目标用户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描述角色、职责、能力水平、权限及使用频率。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核心场景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按触发条件、用户任务、环境、期望结果描述。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用户旅程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描述进入前、使用中、结果处理和后续反馈的完整链路。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利益相关方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列出业务、产品、研发、测试、数据、安全、法务、运营及客户成功。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5. 范围定义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14"/>
        <w:gridCol w:w="4876"/>
        <w:gridCol w:w="2381"/>
      </w:tblGrid>
      <w:tr>
        <w:trPr>
          <w:tblHeader w:val="true"/>
          <w:cantSplit w:val="true"/>
        </w:trPr>
        <w:tc>
          <w:tcPr>
            <w:tcW w:type="dxa" w:w="181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范围类型</w:t>
            </w:r>
          </w:p>
        </w:tc>
        <w:tc>
          <w:tcPr>
            <w:tcW w:type="dxa" w:w="487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8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本期范围</w:t>
            </w:r>
          </w:p>
        </w:tc>
        <w:tc>
          <w:tcPr>
            <w:tcW w:type="dxa" w:w="48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【功能、用户、数据、平台、地区】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必须可验收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明确不做</w:t>
            </w:r>
          </w:p>
        </w:tc>
        <w:tc>
          <w:tcPr>
            <w:tcW w:type="dxa" w:w="48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【列出排除项】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说明原因和后续计划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后续版本</w:t>
            </w:r>
          </w:p>
        </w:tc>
        <w:tc>
          <w:tcPr>
            <w:tcW w:type="dxa" w:w="48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【候选能力】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不纳入本期承诺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变更规则</w:t>
            </w:r>
          </w:p>
        </w:tc>
        <w:tc>
          <w:tcPr>
            <w:tcW w:type="dxa" w:w="48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【谁可提出、谁批准、如何评估】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重大变更重新评审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6. 业务流程与状态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主流程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用步骤或流程图说明触发、处理、完成和结果消费。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分支流程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覆盖不同角色、条件、渠道、数据状态和权限。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状态机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列出状态、进入条件、退出条件、可执行动作及不可逆操作。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异常流程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覆盖超时、失败、重复、并发、空数据、权限不足、中断和恢复。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7.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21"/>
              </w:rPr>
              <w:t xml:space="preserve">功能需求卡片格式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每个功能使用统一编号，至少包含：用户故事、前置条件、主流程、业务规则、权限、数据、异常、埋点、验收标准和依赖。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FR-001 功能名称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使用“动词+对象”命名，例如“提交需求分析任务”。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用户故事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作为【角色】，我希望【动作】，以便【价值】。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前置条件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用户、权限、数据、配置和外部依赖必须满足的条件。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交互与流程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逐步描述用户操作、系统处理、反馈和状态变化。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业务规则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编号列出判断条件、优先级、计算口径、限制和冲突处理。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异常与边界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至少覆盖空值、极值、重复、超时、失败、权限、并发和恢复。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验收标准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采用Given-When-Then或可测量条件，禁止只写“功能正常”。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8. AI能力设计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AI使用必要性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说明为何使用AI优于规则、搜索或人工方案；如可用确定性方案解决，应优先确定性方案。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AI任务定义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明确分类、生成、抽取、检索、规划、预测或工具调用等任务类型。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输入字段、格式、长度、语言、敏感等级、质量要求和缺失处理。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输出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输出Schema、示例、置信度、证据、错误码及用户可见标识。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模型策略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主模型、备用模型、选择理由、版本锁定、成本和时延预算。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Prompt策略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系统指令、业务模板、变量、版本、测试和发布流程。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知识库/RAG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数据来源、切分、索引、权限、更新、引用、过期和无结果处理。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记忆与上下文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会话范围、保留期限、用户可控性、清除机制和跨会话限制。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置信度与不确定性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定义低置信度阈值、表达方式、追问、拒答和转人工策略。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降级方案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模型不可用、超时、超预算、知识库失败或输出不合规时如何处理。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9. Agent与工具权限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2381"/>
        <w:gridCol w:w="1701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238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工具/动作</w:t>
            </w:r>
          </w:p>
        </w:tc>
        <w:tc>
          <w:tcPr>
            <w:tcW w:type="dxa" w:w="170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权限级别</w:t>
            </w:r>
          </w:p>
        </w:tc>
        <w:tc>
          <w:tcPr>
            <w:tcW w:type="dxa" w:w="249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授权方式</w:t>
            </w:r>
          </w:p>
        </w:tc>
        <w:tc>
          <w:tcPr>
            <w:tcW w:type="dxa" w:w="249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审计与撤销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读取文档/数据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低风险，只读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继承当前用户权限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记录对象、时间、范围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检索企业知识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低-中风险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项目/空间授权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展示引用来源，可撤销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修改草稿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中风险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用户逐次确认或预授权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保留差异，可回滚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发布/通知/写入外部系统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高风险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操作前明确确认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完整日志、幂等、可补偿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删除/支付/权限变更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极高风险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强制人工复核和二次确认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禁止静默执行，保留审批链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Agent职责边界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定义每个Agent可读取、分析、生成和执行的动作，避免职责重叠和循环调用。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人工复核点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明确哪些输出、风险等级或外部动作必须由哪个角色确认。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停止条件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定义最大步数、最大成本、超时、重复调用、异常输出和用户中止。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10. 数据设计与隐私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531"/>
        <w:gridCol w:w="1587"/>
        <w:gridCol w:w="1984"/>
        <w:gridCol w:w="1587"/>
        <w:gridCol w:w="1191"/>
        <w:gridCol w:w="1191"/>
      </w:tblGrid>
      <w:tr>
        <w:trPr>
          <w:tblHeader w:val="true"/>
          <w:cantSplit w:val="true"/>
        </w:trPr>
        <w:tc>
          <w:tcPr>
            <w:tcW w:type="dxa" w:w="153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158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58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敏感等级</w:t>
            </w:r>
          </w:p>
        </w:tc>
        <w:tc>
          <w:tcPr>
            <w:tcW w:type="dxa" w:w="119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保存期限</w:t>
            </w:r>
          </w:p>
        </w:tc>
        <w:tc>
          <w:tcPr>
            <w:tcW w:type="dxa" w:w="119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删除方式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【字段】</w:t>
            </w:r>
          </w:p>
        </w:tc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【系统/用户】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【推理/评测/运营】</w:t>
            </w:r>
          </w:p>
        </w:tc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公开/内部/敏感/高度敏感</w:t>
            </w:r>
          </w:p>
        </w:tc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【期限】</w:t>
            </w:r>
          </w:p>
        </w:tc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【方式】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【字段】</w:t>
            </w:r>
          </w:p>
        </w:tc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【系统/用户】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【期限】</w:t>
            </w:r>
          </w:p>
        </w:tc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【方式】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说明数据最小化、用户授权、跨境、第三方模型、训练使用、日志脱敏和租户隔离。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明确用户查看、更正、导出和删除数据的路径。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禁止将客户数据默认用于训练；确需使用时必须单独授权并可撤回。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11. 内容安全与合规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风险场景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列出违法违规、有害内容、偏见歧视、隐私泄露、提示注入、越权和知识产权风险。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防护措施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输入过滤、权限校验、输出审核、敏感词、模型安全策略和人工升级。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用户告知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说明AI生成标识、能力限制、责任边界、申诉和反馈渠道。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合规确认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列出适用法律、行业规范、合同约束及法务/安全审批人。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12. 模型评测方案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417"/>
        <w:gridCol w:w="2608"/>
        <w:gridCol w:w="1984"/>
        <w:gridCol w:w="1701"/>
        <w:gridCol w:w="1361"/>
      </w:tblGrid>
      <w:tr>
        <w:trPr>
          <w:tblHeader w:val="true"/>
          <w:cantSplit w:val="true"/>
        </w:trPr>
        <w:tc>
          <w:tcPr>
            <w:tcW w:type="dxa" w:w="141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评测层</w:t>
            </w:r>
          </w:p>
        </w:tc>
        <w:tc>
          <w:tcPr>
            <w:tcW w:type="dxa" w:w="26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170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36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离线效果</w:t>
            </w:r>
          </w:p>
        </w:tc>
        <w:tc>
          <w:tcPr>
            <w:tcW w:type="dxa" w:w="2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准确率、召回率、F1、事实性、引用正确率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黄金集/对抗集/边界集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安全</w:t>
            </w:r>
          </w:p>
        </w:tc>
        <w:tc>
          <w:tcPr>
            <w:tcW w:type="dxa" w:w="2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有害输出率、越权率、敏感信息泄露率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红队与安全集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体验</w:t>
            </w:r>
          </w:p>
        </w:tc>
        <w:tc>
          <w:tcPr>
            <w:tcW w:type="dxa" w:w="2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任务完成率、采纳率、满意度、转人工率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可用性测试/灰度数据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性能成本</w:t>
            </w:r>
          </w:p>
        </w:tc>
        <w:tc>
          <w:tcPr>
            <w:tcW w:type="dxa" w:w="2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P50/P95时延、Token、单任务成本、可用性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压测与线上监控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稳定性</w:t>
            </w:r>
          </w:p>
        </w:tc>
        <w:tc>
          <w:tcPr>
            <w:tcW w:type="dxa" w:w="2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多次运行一致性、模型升级回归、降级成功率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回归集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评测集治理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说明样本来源、授权、去重、版本、覆盖范围、污染防范和更新机制。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基线与对照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记录当前人工/规则/旧模型结果，避免只比较模型之间的相对效果。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模型升级门槛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明确不得退化指标、容忍阈值、回归流程和回滚条件。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13. 用户体验与交互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AI状态展示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区分等待、分析、工具调用、需要确认、完成、失败和降级状态。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结果表达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区分事实、引用、推断和建议；展示来源、时间和置信度。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可控性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支持停止、重试、编辑、撤销、重新生成、反馈和人工接管。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错误体验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错误信息说明原因、影响、用户可执行操作及数据是否保存。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14.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701"/>
        <w:gridCol w:w="4195"/>
        <w:gridCol w:w="3175"/>
      </w:tblGrid>
      <w:tr>
        <w:trPr>
          <w:tblHeader w:val="true"/>
          <w:cantSplit w:val="true"/>
        </w:trPr>
        <w:tc>
          <w:tcPr>
            <w:tcW w:type="dxa" w:w="170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19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17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性能</w:t>
            </w:r>
          </w:p>
        </w:tc>
        <w:tc>
          <w:tcPr>
            <w:tcW w:type="dxa" w:w="419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响应时间、并发、文件大小、超时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P95【填写】，峰值并发【填写】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可用性</w:t>
            </w:r>
          </w:p>
        </w:tc>
        <w:tc>
          <w:tcPr>
            <w:tcW w:type="dxa" w:w="419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SLA、容灾、降级、重试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月可用性【填写】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安全</w:t>
            </w:r>
          </w:p>
        </w:tc>
        <w:tc>
          <w:tcPr>
            <w:tcW w:type="dxa" w:w="419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认证、授权、加密、审计、漏洞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安全测试和权限测试通过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兼容性</w:t>
            </w:r>
          </w:p>
        </w:tc>
        <w:tc>
          <w:tcPr>
            <w:tcW w:type="dxa" w:w="419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浏览器、终端、模型、文件格式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支持清单全部通过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可观测性</w:t>
            </w:r>
          </w:p>
        </w:tc>
        <w:tc>
          <w:tcPr>
            <w:tcW w:type="dxa" w:w="419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日志、指标、Trace、成本、质量漂移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关键链路可定位、可告警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可维护性</w:t>
            </w:r>
          </w:p>
        </w:tc>
        <w:tc>
          <w:tcPr>
            <w:tcW w:type="dxa" w:w="419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配置化、版本化、回滚、知识更新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变更有记录，可恢复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15. 数据指标与埋点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531"/>
        <w:gridCol w:w="1928"/>
        <w:gridCol w:w="2891"/>
        <w:gridCol w:w="1417"/>
        <w:gridCol w:w="1304"/>
      </w:tblGrid>
      <w:tr>
        <w:trPr>
          <w:tblHeader w:val="true"/>
          <w:cantSplit w:val="true"/>
        </w:trPr>
        <w:tc>
          <w:tcPr>
            <w:tcW w:type="dxa" w:w="153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指标层级</w:t>
            </w:r>
          </w:p>
        </w:tc>
        <w:tc>
          <w:tcPr>
            <w:tcW w:type="dxa" w:w="19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9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定义/口径</w:t>
            </w:r>
          </w:p>
        </w:tc>
        <w:tc>
          <w:tcPr>
            <w:tcW w:type="dxa" w:w="141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30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北极星指标</w:t>
            </w:r>
          </w:p>
        </w:tc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【唯一计算口径】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漏斗指标</w:t>
            </w:r>
          </w:p>
        </w:tc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进入-提交-完成-采纳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按用户/任务去重规则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事件埋点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AI质量指标</w:t>
            </w:r>
          </w:p>
        </w:tc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有效率、采纳率、转人工率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经人工确认或行为反馈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评测+线上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成本指标</w:t>
            </w:r>
          </w:p>
        </w:tc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单任务模型成本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模型、Token、工具费用合计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调用日志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安全指标</w:t>
            </w:r>
          </w:p>
        </w:tc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越权/泄露/有害输出事件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按事件等级统计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安全日志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0高危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16. 灰度、发布与回滚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灰度计划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用户范围、流量比例、持续时间、对照组、观察指标和扩大条件。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发布检查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模型、Prompt、知识库、权限、安全、评测、监控、客服和文档是否就绪。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停止条件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高危安全事件、核心指标下降、成本超限、错误率或投诉超过阈值。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回滚方案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回滚对象、执行人、触发方式、数据兼容、用户通知和恢复验证。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17. 风险、依赖与决策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964"/>
        <w:gridCol w:w="964"/>
        <w:gridCol w:w="2891"/>
        <w:gridCol w:w="1247"/>
        <w:gridCol w:w="1134"/>
      </w:tblGrid>
      <w:tr>
        <w:trPr>
          <w:tblHeader w:val="true"/>
          <w:cantSplit w:val="true"/>
        </w:trPr>
        <w:tc>
          <w:tcPr>
            <w:tcW w:type="dxa" w:w="187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风险/依赖</w:t>
            </w:r>
          </w:p>
        </w:tc>
        <w:tc>
          <w:tcPr>
            <w:tcW w:type="dxa" w:w="9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9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91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预防/应对</w:t>
            </w:r>
          </w:p>
        </w:tc>
        <w:tc>
          <w:tcPr>
            <w:tcW w:type="dxa" w:w="124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13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【填写】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高/中/低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高/中/低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开放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【填写】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高/中/低</w:t>
            </w:r>
          </w:p>
        </w:tc>
        <w:tc>
          <w:tcPr>
            <w:tcW w:type="dxa" w:w="9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高/中/低</w:t>
            </w:r>
          </w:p>
        </w:tc>
        <w:tc>
          <w:tcPr>
            <w:tcW w:type="dxa" w:w="28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【填写】</w:t>
            </w:r>
          </w:p>
        </w:tc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开放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待决策事项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记录选项、推荐方案、影响、决策人和最晚决策时间。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18.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功能验收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逐条引用FR编号，使用Given-When-Then或明确输入、动作和可观测结果。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AI效果验收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列出离线评测、人工评审和线上指标的最低通过标准。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安全与权限验收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覆盖越权、提示注入、敏感数据、外部动作确认和审计日志。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性能与稳定性验收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覆盖并发、超时、降级、重试、可用性和成本预算。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871"/>
        <w:gridCol w:w="7200"/>
      </w:tblGrid>
      <w:tr>
        <w:trPr>
          <w:cantSplit w:val="true"/>
        </w:trPr>
        <w:tc>
          <w:tcPr>
            <w:tcW w:type="dxa" w:w="1871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  <w:shd w:fill="EAF2F8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业务验收</w:t>
            </w:r>
          </w:p>
        </w:tc>
        <w:tc>
          <w:tcPr>
            <w:tcW w:type="dxa" w:w="7200"/>
            <w:tcMar>
              <w:top w:w="115" w:type="dxa"/>
              <w:start w:w="130" w:type="dxa"/>
              <w:bottom w:w="115" w:type="dxa"/>
              <w:end w:w="130" w:type="dxa"/>
            </w:tcMar>
            <w:vAlign w:val="top"/>
          </w:tcPr>
          <w:p>
            <w:pPr>
              <w:keepNext w:val="0"/>
              <w:spacing w:before="0" w:after="40" w:line="300" w:lineRule="auto"/>
            </w:pPr>
            <w:r>
              <w:rPr>
                <w:rFonts w:ascii="Arial Unicode MS" w:hAnsi="Arial Unicode MS" w:eastAsia="Arial Unicode MS"/>
                <w:b/>
                <w:color w:val="2F6B9A"/>
                <w:sz w:val="18"/>
              </w:rPr>
              <w:t>填写说明：</w:t>
            </w:r>
            <w:r>
              <w:rPr>
                <w:rFonts w:ascii="Arial Unicode MS" w:hAnsi="Arial Unicode MS" w:eastAsia="Arial Unicode MS"/>
                <w:color w:val="1F252B"/>
                <w:sz w:val="18"/>
              </w:rPr>
              <w:t>由业务负责人确认目标场景、流程、口径和上线条件。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F6B9A"/>
          <w:sz w:val="26"/>
        </w:rPr>
        <w:t>19. 上线检查清单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业务目标、范围和负责人已确认。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主流程、异常边界、权限和验收标准完整。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模型、Prompt、知识库和工具版本已锁定并可追溯。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离线评测、安全评测、回归测试和性能测试达标。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高风险动作已设置人工复核、二次确认和撤销/补偿机制。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数据授权、隐私告知、保存期限和删除机制已确认。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灰度、监控、告警、客服、应急和回滚方案已就绪。</w:t>
      </w:r>
    </w:p>
    <w:p>
      <w:pPr>
        <w:pStyle w:val="ListBullet"/>
        <w:keepNext w:val="0"/>
        <w:spacing w:before="0" w:after="80" w:line="293" w:lineRule="auto"/>
        <w:ind w:left="539" w:hanging="238"/>
      </w:pPr>
      <w:r>
        <w:rPr>
          <w:rFonts w:ascii="Arial Unicode MS" w:hAnsi="Arial Unicode MS" w:eastAsia="Arial Unicode MS"/>
          <w:color w:val="1F252B"/>
          <w:sz w:val="21"/>
        </w:rPr>
        <w:t>□ 产品、研发、测试、数据、安全/法务和业务完成签字确认。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365D"/>
          <w:sz w:val="32"/>
        </w:rPr>
        <w:t>附录A　AI场景需求卡片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2268"/>
        <w:gridCol w:w="6803"/>
      </w:tblGrid>
      <w:tr>
        <w:trPr>
          <w:tblHeader w:val="true"/>
          <w:cantSplit w:val="true"/>
        </w:trPr>
        <w:tc>
          <w:tcPr>
            <w:tcW w:type="dxa" w:w="22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场景编号/名称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AI-【编号】/【名称】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用户任务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用户要完成什么任务，现有方式是什么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输入/输出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字段、Schema、示例、限制、敏感等级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正确结果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什么是正确、可接受、错误和高风险结果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知识与工具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可访问来源、工具、权限、调用限制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人工复核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触发条件、角色、操作和SLA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评测指标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效果、安全、性能、成本和稳定性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降级/回滚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失败时返回什么、如何恢复及影响范围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7365D"/>
          <w:sz w:val="32"/>
        </w:rPr>
        <w:t>附录B　Given-When-Then验收示例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21"/>
              </w:rPr>
              <w:t xml:space="preserve">示例　</w:t>
            </w:r>
            <w:r>
              <w:rPr>
                <w:rFonts w:ascii="Arial Unicode MS" w:hAnsi="Arial Unicode MS" w:eastAsia="Arial Unicode MS"/>
                <w:color w:val="1F252B"/>
                <w:sz w:val="21"/>
              </w:rPr>
              <w:t>Given 用户上传一份缺少退款异常处理的PRD；When 需求分析Agent完成分析；Then 系统应输出“异常边界缺失”问题，等级为P1，引用对应章节，说明潜在影响，并给出至少一条可执行修改建议；未经用户确认不得修改源文档。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7365D"/>
          <w:sz w:val="32"/>
        </w:rPr>
        <w:t>附录C　评审准入建议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1984"/>
        <w:gridCol w:w="7087"/>
      </w:tblGrid>
      <w:tr>
        <w:trPr>
          <w:tblHeader w:val="true"/>
          <w:cantSplit w:val="true"/>
        </w:trPr>
        <w:tc>
          <w:tcPr>
            <w:tcW w:type="dxa" w:w="19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7087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条件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通过</w:t>
            </w:r>
          </w:p>
        </w:tc>
        <w:tc>
          <w:tcPr>
            <w:tcW w:type="dxa" w:w="70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无硬性打回项；目标、范围、流程、验收、AI方案、数据、安全、评测与回滚完整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有条件通过</w:t>
            </w:r>
          </w:p>
        </w:tc>
        <w:tc>
          <w:tcPr>
            <w:tcW w:type="dxa" w:w="70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无P0；P1有明确负责人、完成时间和不影响当前开发的控制措施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打回</w:t>
            </w:r>
          </w:p>
        </w:tc>
        <w:tc>
          <w:tcPr>
            <w:tcW w:type="dxa" w:w="70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52B"/>
                <w:sz w:val="18"/>
              </w:rPr>
              <w:t>存在P0、核心流程缺失、验收不可测试、Agent越权、数据合规不清或无回滚方案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332" w:bottom="1077" w:left="1332" w:header="624" w:footer="5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 Unicode MS" w:hAnsi="Arial Unicode MS" w:eastAsia="Arial Unicode MS"/>
        <w:color w:val="68717A"/>
        <w:sz w:val="15"/>
      </w:rPr>
      <w:t>需求分析Agent设计说明及AI产品PRD模板｜2026年6月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Arial Unicode MS" w:hAnsi="Arial Unicode MS" w:eastAsia="Arial Unicode MS"/>
        <w:b/>
        <w:color w:val="68717A"/>
        <w:sz w:val="16"/>
      </w:rPr>
      <w:t>元序AI｜产品设计与需求治理参考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F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