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920" w:after="240" w:line="240" w:lineRule="auto"/>
        <w:jc w:val="center"/>
      </w:pPr>
      <w:r>
        <w:rPr>
          <w:rFonts w:ascii="Arial" w:hAnsi="Arial" w:eastAsia="Arial Unicode MS"/>
          <w:b/>
          <w:color w:val="2F6B9A"/>
          <w:sz w:val="36"/>
        </w:rPr>
        <w:t>元序AI</w:t>
      </w:r>
    </w:p>
    <w:p>
      <w:pPr>
        <w:keepNext w:val="0"/>
        <w:spacing w:before="0" w:after="180" w:line="240" w:lineRule="auto"/>
        <w:jc w:val="center"/>
      </w:pPr>
      <w:r>
        <w:rPr>
          <w:rFonts w:ascii="Arial" w:hAnsi="Arial" w:eastAsia="Arial Unicode MS"/>
          <w:b/>
          <w:color w:val="17365D"/>
          <w:sz w:val="56"/>
        </w:rPr>
        <w:t>核心产品及业务介绍</w:t>
      </w:r>
    </w:p>
    <w:p>
      <w:pPr>
        <w:keepNext w:val="0"/>
        <w:spacing w:before="0" w:after="560" w:line="288" w:lineRule="auto"/>
        <w:jc w:val="center"/>
      </w:pPr>
      <w:r>
        <w:rPr>
          <w:rFonts w:ascii="Arial" w:hAnsi="Arial" w:eastAsia="Arial Unicode MS"/>
          <w:b/>
          <w:color w:val="2F6B9A"/>
          <w:sz w:val="28"/>
        </w:rPr>
        <w:t>AI研发交付治理平台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242"/>
            <w:shd w:fill="EAF2F8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Arial Unicode MS"/>
                <w:b/>
                <w:color w:val="17365D"/>
                <w:sz w:val="21"/>
              </w:rPr>
              <w:t xml:space="preserve">产品定位　</w:t>
            </w:r>
            <w:r>
              <w:rPr>
                <w:rFonts w:ascii="Arial" w:hAnsi="Arial" w:eastAsia="Arial Unicode MS"/>
                <w:color w:val="1F252B"/>
                <w:sz w:val="21"/>
              </w:rPr>
              <w:t>面向50-200人规模的ToB企业研发团队，通过多Agent协同与管理方法论融合，提升需求质量、项目透明度、风险识别能力和组织效能。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4621"/>
        <w:gridCol w:w="4621"/>
      </w:tblGrid>
      <w:tr>
        <w:tc>
          <w:tcPr>
            <w:tcW w:type="dxa" w:w="19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5F7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 Unicode MS"/>
                <w:b/>
                <w:color w:val="17365D"/>
                <w:sz w:val="19"/>
              </w:rPr>
              <w:t>项目/产品名称</w:t>
            </w:r>
          </w:p>
        </w:tc>
        <w:tc>
          <w:tcPr>
            <w:tcW w:type="dxa" w:w="714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" w:hAnsi="Arial" w:eastAsia="Arial Unicode MS"/>
                <w:color w:val="1F252B"/>
                <w:sz w:val="19"/>
              </w:rPr>
              <w:t>元序AI</w:t>
            </w:r>
          </w:p>
        </w:tc>
      </w:tr>
      <w:tr>
        <w:tc>
          <w:tcPr>
            <w:tcW w:type="dxa" w:w="19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5F7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 Unicode MS"/>
                <w:b/>
                <w:color w:val="17365D"/>
                <w:sz w:val="19"/>
              </w:rPr>
              <w:t>核心业务</w:t>
            </w:r>
          </w:p>
        </w:tc>
        <w:tc>
          <w:tcPr>
            <w:tcW w:type="dxa" w:w="714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" w:hAnsi="Arial" w:eastAsia="Arial Unicode MS"/>
                <w:color w:val="1F252B"/>
                <w:sz w:val="19"/>
              </w:rPr>
              <w:t>AI研发交付治理平台及配套咨询、解决方案建设与项目交付服务</w:t>
            </w:r>
          </w:p>
        </w:tc>
      </w:tr>
      <w:tr>
        <w:tc>
          <w:tcPr>
            <w:tcW w:type="dxa" w:w="19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5F7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 Unicode MS"/>
                <w:b/>
                <w:color w:val="17365D"/>
                <w:sz w:val="19"/>
              </w:rPr>
              <w:t>目标客户</w:t>
            </w:r>
          </w:p>
        </w:tc>
        <w:tc>
          <w:tcPr>
            <w:tcW w:type="dxa" w:w="714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" w:hAnsi="Arial" w:eastAsia="Arial Unicode MS"/>
                <w:color w:val="1F252B"/>
                <w:sz w:val="19"/>
              </w:rPr>
              <w:t>中国境内50-200人规模、具备研发或数字化交付团队的ToB企业</w:t>
            </w:r>
          </w:p>
        </w:tc>
      </w:tr>
      <w:tr>
        <w:tc>
          <w:tcPr>
            <w:tcW w:type="dxa" w:w="19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5F7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 Unicode MS"/>
                <w:b/>
                <w:color w:val="17365D"/>
                <w:sz w:val="19"/>
              </w:rPr>
              <w:t>当前阶段</w:t>
            </w:r>
          </w:p>
        </w:tc>
        <w:tc>
          <w:tcPr>
            <w:tcW w:type="dxa" w:w="714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" w:hAnsi="Arial" w:eastAsia="Arial Unicode MS"/>
                <w:color w:val="1F252B"/>
                <w:sz w:val="19"/>
              </w:rPr>
              <w:t>产品开发中</w:t>
            </w:r>
          </w:p>
        </w:tc>
      </w:tr>
      <w:tr>
        <w:tc>
          <w:tcPr>
            <w:tcW w:type="dxa" w:w="19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5F7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 Unicode MS"/>
                <w:b/>
                <w:color w:val="17365D"/>
                <w:sz w:val="19"/>
              </w:rPr>
              <w:t>主要经营地区</w:t>
            </w:r>
          </w:p>
        </w:tc>
        <w:tc>
          <w:tcPr>
            <w:tcW w:type="dxa" w:w="714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" w:hAnsi="Arial" w:eastAsia="Arial Unicode MS"/>
                <w:color w:val="1F252B"/>
                <w:sz w:val="19"/>
              </w:rPr>
              <w:t>中国</w:t>
            </w:r>
          </w:p>
        </w:tc>
      </w:tr>
      <w:tr>
        <w:tc>
          <w:tcPr>
            <w:tcW w:type="dxa" w:w="19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3F5F7"/>
          </w:tcPr>
          <w:p>
            <w:pPr>
              <w:keepNext w:val="0"/>
              <w:spacing w:before="0" w:after="0" w:line="276" w:lineRule="auto"/>
            </w:pPr>
            <w:r>
              <w:rPr>
                <w:rFonts w:ascii="Arial" w:hAnsi="Arial" w:eastAsia="Arial Unicode MS"/>
                <w:b/>
                <w:color w:val="17365D"/>
                <w:sz w:val="19"/>
              </w:rPr>
              <w:t>材料用途</w:t>
            </w:r>
          </w:p>
        </w:tc>
        <w:tc>
          <w:tcPr>
            <w:tcW w:type="dxa" w:w="714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" w:hAnsi="Arial" w:eastAsia="Arial Unicode MS"/>
                <w:color w:val="1F252B"/>
                <w:sz w:val="19"/>
              </w:rPr>
              <w:t>OPC公司注册核心产品/业务介绍材料</w:t>
            </w:r>
          </w:p>
        </w:tc>
      </w:tr>
    </w:tbl>
    <w:p>
      <w:pPr>
        <w:spacing w:after="40"/>
      </w:pPr>
    </w:p>
    <w:p>
      <w:pPr>
        <w:keepNext w:val="0"/>
        <w:spacing w:before="360" w:after="60" w:line="264" w:lineRule="auto"/>
        <w:jc w:val="center"/>
      </w:pPr>
      <w:r>
        <w:rPr>
          <w:rFonts w:ascii="Arial" w:hAnsi="Arial" w:eastAsia="Arial Unicode MS"/>
          <w:color w:val="68717A"/>
          <w:sz w:val="19"/>
        </w:rPr>
        <w:t>编制日期：2026年6月</w:t>
      </w:r>
    </w:p>
    <w:p>
      <w:r>
        <w:br w:type="page"/>
      </w:r>
    </w:p>
    <w:p>
      <w:pPr>
        <w:pStyle w:val="Heading1"/>
      </w:pPr>
      <w:r>
        <w:t>一、业务概述</w:t>
      </w:r>
    </w:p>
    <w:p>
      <w:pPr>
        <w:keepNext w:val="0"/>
        <w:spacing w:before="0" w:after="140" w:line="312" w:lineRule="auto"/>
      </w:pPr>
      <w:r>
        <w:rPr>
          <w:rFonts w:ascii="Arial" w:hAnsi="Arial" w:eastAsia="Arial Unicode MS"/>
          <w:color w:val="1F252B"/>
          <w:sz w:val="21"/>
        </w:rPr>
        <w:t>元序AI是一款面向企业研发团队的AI研发交付治理平台。产品以研发管理实际场景为核心，将CMMI、IPD等成熟研发管理方法与多Agent协同能力结合，覆盖企业诊断、方案设计、体系建设和项目交付等环节。</w:t>
      </w:r>
    </w:p>
    <w:p>
      <w:pPr>
        <w:keepNext w:val="0"/>
        <w:spacing w:before="0" w:after="140" w:line="312" w:lineRule="auto"/>
      </w:pPr>
      <w:r>
        <w:rPr>
          <w:rFonts w:ascii="Arial" w:hAnsi="Arial" w:eastAsia="Arial Unicode MS"/>
          <w:color w:val="1F252B"/>
          <w:sz w:val="21"/>
        </w:rPr>
        <w:t>平台拟通过结构化诊断、知识沉淀、过程可视化、风险提示及智能辅助等能力，帮助企业改善需求质量不稳定、项目过程不透明、风险发现滞后、知识分散和组织协同效率不足等问题。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242"/>
            <w:shd w:fill="EAF2F8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Arial Unicode MS"/>
                <w:b/>
                <w:color w:val="17365D"/>
                <w:sz w:val="21"/>
              </w:rPr>
              <w:t xml:space="preserve">核心价值　</w:t>
            </w:r>
            <w:r>
              <w:rPr>
                <w:rFonts w:ascii="Arial" w:hAnsi="Arial" w:eastAsia="Arial Unicode MS"/>
                <w:color w:val="1F252B"/>
                <w:sz w:val="21"/>
              </w:rPr>
              <w:t>不是单纯提供通用AI工具，而是围绕企业研发交付全过程，把管理标准、企业知识和智能Agent嵌入具体业务流程，形成可执行、可跟踪、可持续改进的治理机制。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1"/>
      </w:pPr>
      <w:r>
        <w:t>二、目标客户与典型问题</w:t>
      </w:r>
    </w:p>
    <w:p>
      <w:pPr>
        <w:keepNext w:val="0"/>
        <w:spacing w:before="0" w:after="140" w:line="312" w:lineRule="auto"/>
      </w:pPr>
      <w:r>
        <w:rPr>
          <w:rFonts w:ascii="Arial" w:hAnsi="Arial" w:eastAsia="Arial Unicode MS"/>
          <w:color w:val="1F252B"/>
          <w:sz w:val="21"/>
        </w:rPr>
        <w:t>元序AI主要服务于中国境内50-200人规模的ToB企业，重点面向具有产品研发、软件开发、数字化项目或客户交付团队的组织。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757"/>
            <w:shd w:fill="17365D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典型问题</w:t>
            </w:r>
          </w:p>
        </w:tc>
        <w:tc>
          <w:tcPr>
            <w:tcW w:type="dxa" w:w="3458"/>
            <w:shd w:fill="17365D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具体表现</w:t>
            </w:r>
          </w:p>
        </w:tc>
        <w:tc>
          <w:tcPr>
            <w:tcW w:type="dxa" w:w="3855"/>
            <w:shd w:fill="17365D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拟解决方向</w:t>
            </w:r>
          </w:p>
        </w:tc>
      </w:tr>
      <w:tr>
        <w:tc>
          <w:tcPr>
            <w:tcW w:type="dxa" w:w="175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需求质量不足</w:t>
            </w:r>
          </w:p>
        </w:tc>
        <w:tc>
          <w:tcPr>
            <w:tcW w:type="dxa" w:w="345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需求描述不完整、范围频繁变化、验收口径不一致</w:t>
            </w:r>
          </w:p>
        </w:tc>
        <w:tc>
          <w:tcPr>
            <w:tcW w:type="dxa" w:w="3855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建立需求分析、评审和质量准入机制</w:t>
            </w:r>
          </w:p>
        </w:tc>
      </w:tr>
      <w:tr>
        <w:tc>
          <w:tcPr>
            <w:tcW w:type="dxa" w:w="175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项目透明度不足</w:t>
            </w:r>
          </w:p>
        </w:tc>
        <w:tc>
          <w:tcPr>
            <w:tcW w:type="dxa" w:w="345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进度、依赖、资源和交付状态分散，管理层难以及时掌握</w:t>
            </w:r>
          </w:p>
        </w:tc>
        <w:tc>
          <w:tcPr>
            <w:tcW w:type="dxa" w:w="3855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建设统一项目视图与效能看板</w:t>
            </w:r>
          </w:p>
        </w:tc>
      </w:tr>
      <w:tr>
        <w:tc>
          <w:tcPr>
            <w:tcW w:type="dxa" w:w="175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风险识别滞后</w:t>
            </w:r>
          </w:p>
        </w:tc>
        <w:tc>
          <w:tcPr>
            <w:tcW w:type="dxa" w:w="345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问题通常在延期或交付失败后才被发现</w:t>
            </w:r>
          </w:p>
        </w:tc>
        <w:tc>
          <w:tcPr>
            <w:tcW w:type="dxa" w:w="3855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通过规则、数据和Agent辅助进行前置识别</w:t>
            </w:r>
          </w:p>
        </w:tc>
      </w:tr>
      <w:tr>
        <w:tc>
          <w:tcPr>
            <w:tcW w:type="dxa" w:w="175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知识资产分散</w:t>
            </w:r>
          </w:p>
        </w:tc>
        <w:tc>
          <w:tcPr>
            <w:tcW w:type="dxa" w:w="345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方法、经验和历史项目资料散落在个人或多个系统中</w:t>
            </w:r>
          </w:p>
        </w:tc>
        <w:tc>
          <w:tcPr>
            <w:tcW w:type="dxa" w:w="3855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建设企业研发知识库并支持场景化调用</w:t>
            </w:r>
          </w:p>
        </w:tc>
      </w:tr>
      <w:tr>
        <w:tc>
          <w:tcPr>
            <w:tcW w:type="dxa" w:w="175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组织效能难衡量</w:t>
            </w:r>
          </w:p>
        </w:tc>
        <w:tc>
          <w:tcPr>
            <w:tcW w:type="dxa" w:w="345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缺少一致指标，改进措施与业务结果难以关联</w:t>
            </w:r>
          </w:p>
        </w:tc>
        <w:tc>
          <w:tcPr>
            <w:tcW w:type="dxa" w:w="3855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建立分层指标体系和持续改进机制</w:t>
            </w:r>
          </w:p>
        </w:tc>
      </w:tr>
    </w:tbl>
    <w:p>
      <w:pPr>
        <w:spacing w:after="40"/>
      </w:pPr>
    </w:p>
    <w:p>
      <w:pPr>
        <w:pStyle w:val="Heading1"/>
      </w:pPr>
      <w:r>
        <w:t>三、核心产品能力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814"/>
            <w:shd w:fill="17365D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能力模块</w:t>
            </w:r>
          </w:p>
        </w:tc>
        <w:tc>
          <w:tcPr>
            <w:tcW w:type="dxa" w:w="3969"/>
            <w:shd w:fill="17365D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3288"/>
            <w:shd w:fill="17365D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预期价值</w:t>
            </w:r>
          </w:p>
        </w:tc>
      </w:tr>
      <w:tr>
        <w:tc>
          <w:tcPr>
            <w:tcW w:type="dxa" w:w="181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研发治理诊断</w:t>
            </w:r>
          </w:p>
        </w:tc>
        <w:tc>
          <w:tcPr>
            <w:tcW w:type="dxa" w:w="3969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参考CMMI、IPD等标准，对需求、项目、质量、知识和协同机制进行结构化评估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识别关键差距，明确改进优先级</w:t>
            </w:r>
          </w:p>
        </w:tc>
      </w:tr>
      <w:tr>
        <w:tc>
          <w:tcPr>
            <w:tcW w:type="dxa" w:w="181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多Agent协同</w:t>
            </w:r>
          </w:p>
        </w:tc>
        <w:tc>
          <w:tcPr>
            <w:tcW w:type="dxa" w:w="3969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围绕不同研发治理任务配置专用Agent，并由流程进行协同编排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降低重复分析成本，提高执行一致性</w:t>
            </w:r>
          </w:p>
        </w:tc>
      </w:tr>
      <w:tr>
        <w:tc>
          <w:tcPr>
            <w:tcW w:type="dxa" w:w="181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知识库</w:t>
            </w:r>
          </w:p>
        </w:tc>
        <w:tc>
          <w:tcPr>
            <w:tcW w:type="dxa" w:w="3969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沉淀企业制度、流程、模板、项目经验和领域知识，并支持检索与调用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减少知识流失，提升复用效率</w:t>
            </w:r>
          </w:p>
        </w:tc>
      </w:tr>
      <w:tr>
        <w:tc>
          <w:tcPr>
            <w:tcW w:type="dxa" w:w="181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项目与效能看板</w:t>
            </w:r>
          </w:p>
        </w:tc>
        <w:tc>
          <w:tcPr>
            <w:tcW w:type="dxa" w:w="3969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汇集关键过程信息、进度、风险及效能指标，形成分层视图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增强项目透明度与管理决策效率</w:t>
            </w:r>
          </w:p>
        </w:tc>
      </w:tr>
      <w:tr>
        <w:tc>
          <w:tcPr>
            <w:tcW w:type="dxa" w:w="181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风险识别与提示</w:t>
            </w:r>
          </w:p>
        </w:tc>
        <w:tc>
          <w:tcPr>
            <w:tcW w:type="dxa" w:w="3969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结合流程规则、项目数据和Agent分析，对潜在风险形成提示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推动风险前置管理</w:t>
            </w:r>
          </w:p>
        </w:tc>
      </w:tr>
      <w:tr>
        <w:tc>
          <w:tcPr>
            <w:tcW w:type="dxa" w:w="1814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治理闭环</w:t>
            </w:r>
          </w:p>
        </w:tc>
        <w:tc>
          <w:tcPr>
            <w:tcW w:type="dxa" w:w="3969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将诊断、方案、执行、评估与优化连接起来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形成可持续的组织改进机制</w:t>
            </w:r>
          </w:p>
        </w:tc>
      </w:tr>
    </w:tbl>
    <w:p>
      <w:pPr>
        <w:spacing w:after="40"/>
      </w:pPr>
    </w:p>
    <w:p>
      <w:pPr>
        <w:keepNext w:val="0"/>
        <w:spacing w:before="0" w:after="140" w:line="312" w:lineRule="auto"/>
      </w:pPr>
      <w:r>
        <w:rPr>
          <w:rFonts w:ascii="Arial" w:hAnsi="Arial" w:eastAsia="Arial Unicode MS"/>
          <w:color w:val="1F252B"/>
          <w:sz w:val="21"/>
        </w:rPr>
        <w:t>说明：上述能力为产品开发方向及计划交付范围。具体功能、部署方式和实施边界将根据产品研发进度及客户实际需求确定。</w:t>
      </w:r>
    </w:p>
    <w:p>
      <w:pPr>
        <w:pStyle w:val="Heading1"/>
      </w:pPr>
      <w:r>
        <w:t>四、服务与交付模式</w:t>
      </w:r>
    </w:p>
    <w:p>
      <w:pPr>
        <w:keepNext w:val="0"/>
        <w:spacing w:before="0" w:after="140" w:line="312" w:lineRule="auto"/>
      </w:pPr>
      <w:r>
        <w:rPr>
          <w:rFonts w:ascii="Arial" w:hAnsi="Arial" w:eastAsia="Arial Unicode MS"/>
          <w:color w:val="1F252B"/>
          <w:sz w:val="21"/>
        </w:rPr>
        <w:t>业务采用“诊断-方案建设-项目交付”的三阶段服务模式，平台能力与专业服务协同开展。</w:t>
      </w:r>
    </w:p>
    <w:p>
      <w:pPr>
        <w:pStyle w:val="ListNumber"/>
        <w:keepNext w:val="0"/>
        <w:spacing w:before="0" w:after="100" w:line="300" w:lineRule="auto"/>
        <w:ind w:left="465" w:hanging="238"/>
      </w:pPr>
      <w:r>
        <w:rPr>
          <w:rFonts w:ascii="Arial" w:hAnsi="Arial" w:eastAsia="Arial Unicode MS"/>
          <w:b/>
          <w:color w:val="17365D"/>
          <w:sz w:val="21"/>
        </w:rPr>
        <w:t>第一阶段：企业研发管理诊断。</w:t>
      </w:r>
      <w:r>
        <w:rPr>
          <w:rFonts w:ascii="Arial" w:hAnsi="Arial" w:eastAsia="Arial Unicode MS"/>
          <w:color w:val="1F252B"/>
          <w:sz w:val="21"/>
        </w:rPr>
        <w:t>参考CMMI和IPD标准，对企业当前研发流程、角色职责、需求管理、项目管理、质量机制、知识沉淀及效能度量情况进行调研和评估，识别主要问题并形成改进建议。</w:t>
      </w:r>
    </w:p>
    <w:p>
      <w:pPr>
        <w:pStyle w:val="ListNumber"/>
        <w:keepNext w:val="0"/>
        <w:spacing w:before="0" w:after="100" w:line="300" w:lineRule="auto"/>
        <w:ind w:left="465" w:hanging="238"/>
      </w:pPr>
      <w:r>
        <w:rPr>
          <w:rFonts w:ascii="Arial" w:hAnsi="Arial" w:eastAsia="Arial Unicode MS"/>
          <w:b/>
          <w:color w:val="17365D"/>
          <w:sz w:val="21"/>
        </w:rPr>
        <w:t>第二阶段：针对性解决方案建设。</w:t>
      </w:r>
      <w:r>
        <w:rPr>
          <w:rFonts w:ascii="Arial" w:hAnsi="Arial" w:eastAsia="Arial Unicode MS"/>
          <w:color w:val="1F252B"/>
          <w:sz w:val="21"/>
        </w:rPr>
        <w:t>根据诊断结果制定实施方案，建设或优化项目管理体系、研发知识库、组织效能看板及相关Agent能力，并明确流程、指标、模板和运行机制。</w:t>
      </w:r>
    </w:p>
    <w:p>
      <w:pPr>
        <w:pStyle w:val="ListNumber"/>
        <w:keepNext w:val="0"/>
        <w:spacing w:before="0" w:after="100" w:line="300" w:lineRule="auto"/>
        <w:ind w:left="465" w:hanging="238"/>
      </w:pPr>
      <w:r>
        <w:rPr>
          <w:rFonts w:ascii="Arial" w:hAnsi="Arial" w:eastAsia="Arial Unicode MS"/>
          <w:b/>
          <w:color w:val="17365D"/>
          <w:sz w:val="21"/>
        </w:rPr>
        <w:t>第三阶段：项目实施与交付。</w:t>
      </w:r>
      <w:r>
        <w:rPr>
          <w:rFonts w:ascii="Arial" w:hAnsi="Arial" w:eastAsia="Arial Unicode MS"/>
          <w:color w:val="1F252B"/>
          <w:sz w:val="21"/>
        </w:rPr>
        <w:t>按照约定范围完成系统配置、知识整理、流程落地、人员辅导、试运行和阶段验收，并基于实施效果进行持续优化。</w:t>
      </w:r>
    </w:p>
    <w:p>
      <w:pPr>
        <w:pStyle w:val="Heading1"/>
      </w:pPr>
      <w:r>
        <w:t>五、商业模式</w:t>
      </w:r>
    </w:p>
    <w:p>
      <w:pPr>
        <w:keepNext w:val="0"/>
        <w:spacing w:before="0" w:after="140" w:line="312" w:lineRule="auto"/>
      </w:pPr>
      <w:r>
        <w:rPr>
          <w:rFonts w:ascii="Arial" w:hAnsi="Arial" w:eastAsia="Arial Unicode MS"/>
          <w:color w:val="1F252B"/>
          <w:sz w:val="21"/>
        </w:rPr>
        <w:t>元序AI拟通过企业级专业服务与平台化产品能力相结合的方式实现收入，具体合作内容和价格根据客户规模、诊断范围、建设模块、部署方式及交付周期确定。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757"/>
            <w:shd w:fill="17365D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收入构成</w:t>
            </w:r>
          </w:p>
        </w:tc>
        <w:tc>
          <w:tcPr>
            <w:tcW w:type="dxa" w:w="4025"/>
            <w:shd w:fill="17365D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收费内容</w:t>
            </w:r>
          </w:p>
        </w:tc>
        <w:tc>
          <w:tcPr>
            <w:tcW w:type="dxa" w:w="3288"/>
            <w:shd w:fill="17365D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主要交付物</w:t>
            </w:r>
          </w:p>
        </w:tc>
      </w:tr>
      <w:tr>
        <w:tc>
          <w:tcPr>
            <w:tcW w:type="dxa" w:w="175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诊断咨询服务</w:t>
            </w:r>
          </w:p>
        </w:tc>
        <w:tc>
          <w:tcPr>
            <w:tcW w:type="dxa" w:w="4025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企业研发管理现状评估与问题分析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诊断报告、差距分析、改进路线建议</w:t>
            </w:r>
          </w:p>
        </w:tc>
      </w:tr>
      <w:tr>
        <w:tc>
          <w:tcPr>
            <w:tcW w:type="dxa" w:w="175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解决方案建设</w:t>
            </w:r>
          </w:p>
        </w:tc>
        <w:tc>
          <w:tcPr>
            <w:tcW w:type="dxa" w:w="4025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管理体系、知识库、效能看板及Agent能力设计与建设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解决方案、流程制度、配置成果及相关知识资产</w:t>
            </w:r>
          </w:p>
        </w:tc>
      </w:tr>
      <w:tr>
        <w:tc>
          <w:tcPr>
            <w:tcW w:type="dxa" w:w="175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项目实施交付</w:t>
            </w:r>
          </w:p>
        </w:tc>
        <w:tc>
          <w:tcPr>
            <w:tcW w:type="dxa" w:w="4025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部署配置、试运行、培训辅导和验收支持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可运行成果、实施文档、培训及验收材料</w:t>
            </w:r>
          </w:p>
        </w:tc>
      </w:tr>
      <w:tr>
        <w:tc>
          <w:tcPr>
            <w:tcW w:type="dxa" w:w="1757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后续产品化服务</w:t>
            </w:r>
          </w:p>
        </w:tc>
        <w:tc>
          <w:tcPr>
            <w:tcW w:type="dxa" w:w="4025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产品正式上线后，可根据实际模式提供持续使用与迭代服务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平台使用权、维护支持或持续优化服务</w:t>
            </w:r>
          </w:p>
        </w:tc>
      </w:tr>
    </w:tbl>
    <w:p>
      <w:pPr>
        <w:spacing w:after="40"/>
      </w:pPr>
    </w:p>
    <w:p>
      <w:pPr>
        <w:pStyle w:val="Heading1"/>
      </w:pPr>
      <w:r>
        <w:t>六、产品差异化特点</w:t>
      </w:r>
    </w:p>
    <w:p>
      <w:pPr>
        <w:pStyle w:val="ListBullet"/>
        <w:keepNext w:val="0"/>
        <w:spacing w:before="0" w:after="80" w:line="293" w:lineRule="auto"/>
        <w:ind w:left="420" w:hanging="204"/>
      </w:pPr>
      <w:r>
        <w:rPr>
          <w:rFonts w:ascii="Arial" w:hAnsi="Arial" w:eastAsia="Arial Unicode MS"/>
          <w:color w:val="1F252B"/>
          <w:sz w:val="21"/>
        </w:rPr>
        <w:t>方法论与AI结合：将CMMI、IPD等研发管理标准转化为可执行的诊断、治理和改进流程。</w:t>
      </w:r>
    </w:p>
    <w:p>
      <w:pPr>
        <w:pStyle w:val="ListBullet"/>
        <w:keepNext w:val="0"/>
        <w:spacing w:before="0" w:after="80" w:line="293" w:lineRule="auto"/>
        <w:ind w:left="420" w:hanging="204"/>
      </w:pPr>
      <w:r>
        <w:rPr>
          <w:rFonts w:ascii="Arial" w:hAnsi="Arial" w:eastAsia="Arial Unicode MS"/>
          <w:color w:val="1F252B"/>
          <w:sz w:val="21"/>
        </w:rPr>
        <w:t>面向研发交付场景：聚焦需求、项目、风险、知识和效能等具体管理问题，而非提供泛化AI能力。</w:t>
      </w:r>
    </w:p>
    <w:p>
      <w:pPr>
        <w:pStyle w:val="ListBullet"/>
        <w:keepNext w:val="0"/>
        <w:spacing w:before="0" w:after="80" w:line="293" w:lineRule="auto"/>
        <w:ind w:left="420" w:hanging="204"/>
      </w:pPr>
      <w:r>
        <w:rPr>
          <w:rFonts w:ascii="Arial" w:hAnsi="Arial" w:eastAsia="Arial Unicode MS"/>
          <w:color w:val="1F252B"/>
          <w:sz w:val="21"/>
        </w:rPr>
        <w:t>多Agent协同：通过不同任务角色的Agent协作，支持分析、检查、提示和知识调用等工作。</w:t>
      </w:r>
    </w:p>
    <w:p>
      <w:pPr>
        <w:pStyle w:val="ListBullet"/>
        <w:keepNext w:val="0"/>
        <w:spacing w:before="0" w:after="80" w:line="293" w:lineRule="auto"/>
        <w:ind w:left="420" w:hanging="204"/>
      </w:pPr>
      <w:r>
        <w:rPr>
          <w:rFonts w:ascii="Arial" w:hAnsi="Arial" w:eastAsia="Arial Unicode MS"/>
          <w:color w:val="1F252B"/>
          <w:sz w:val="21"/>
        </w:rPr>
        <w:t>咨询与平台一体化：从企业问题识别开始，延伸至方案建设和项目落地，减少工具与管理体系脱节。</w:t>
      </w:r>
    </w:p>
    <w:p>
      <w:pPr>
        <w:pStyle w:val="ListBullet"/>
        <w:keepNext w:val="0"/>
        <w:spacing w:before="0" w:after="80" w:line="293" w:lineRule="auto"/>
        <w:ind w:left="420" w:hanging="204"/>
      </w:pPr>
      <w:r>
        <w:rPr>
          <w:rFonts w:ascii="Arial" w:hAnsi="Arial" w:eastAsia="Arial Unicode MS"/>
          <w:color w:val="1F252B"/>
          <w:sz w:val="21"/>
        </w:rPr>
        <w:t>适配中型ToB企业：针对50-200人企业资源有限、流程快速变化和交付压力较高的特点进行设计。</w:t>
      </w:r>
    </w:p>
    <w:p>
      <w:pPr>
        <w:pStyle w:val="Heading1"/>
      </w:pPr>
      <w:r>
        <w:t>七、产品发展阶段与实施计划</w:t>
      </w:r>
    </w:p>
    <w:p>
      <w:pPr>
        <w:keepNext w:val="0"/>
        <w:spacing w:before="0" w:after="140" w:line="312" w:lineRule="auto"/>
      </w:pPr>
      <w:r>
        <w:rPr>
          <w:rFonts w:ascii="Arial" w:hAnsi="Arial" w:eastAsia="Arial Unicode MS"/>
          <w:color w:val="1F252B"/>
          <w:sz w:val="21"/>
        </w:rPr>
        <w:t>元序AI当前处于开发阶段，官网亦在建设中。现阶段工作重点是完善核心业务流程、Agent能力、知识库及效能看板等基础模块，并验证“诊断-建设-交付”业务闭环。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EE5"/>
          <w:left w:val="single" w:sz="5" w:space="0" w:color="D7DEE5"/>
          <w:bottom w:val="single" w:sz="5" w:space="0" w:color="D7DEE5"/>
          <w:right w:val="single" w:sz="5" w:space="0" w:color="D7DEE5"/>
          <w:insideH w:val="single" w:sz="5" w:space="0" w:color="D7DEE5"/>
          <w:insideV w:val="single" w:sz="5" w:space="0" w:color="D7DEE5"/>
        </w:tblBorders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701"/>
            <w:shd w:fill="17365D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082"/>
            <w:shd w:fill="17365D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288"/>
            <w:shd w:fill="17365D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阶段目标</w:t>
            </w:r>
          </w:p>
        </w:tc>
      </w:tr>
      <w:tr>
        <w:tc>
          <w:tcPr>
            <w:tcW w:type="dxa" w:w="1701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当前阶段</w:t>
            </w:r>
          </w:p>
        </w:tc>
        <w:tc>
          <w:tcPr>
            <w:tcW w:type="dxa" w:w="408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核心产品设计与开发、业务流程梳理、基础Agent能力建设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形成可演示、可验证的核心流程</w:t>
            </w:r>
          </w:p>
        </w:tc>
      </w:tr>
      <w:tr>
        <w:tc>
          <w:tcPr>
            <w:tcW w:type="dxa" w:w="1701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试点阶段</w:t>
            </w:r>
          </w:p>
        </w:tc>
        <w:tc>
          <w:tcPr>
            <w:tcW w:type="dxa" w:w="408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选择适配场景开展小范围验证，收集流程与使用反馈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验证产品价值并优化交付方法</w:t>
            </w:r>
          </w:p>
        </w:tc>
      </w:tr>
      <w:tr>
        <w:tc>
          <w:tcPr>
            <w:tcW w:type="dxa" w:w="1701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产品化阶段</w:t>
            </w:r>
          </w:p>
        </w:tc>
        <w:tc>
          <w:tcPr>
            <w:tcW w:type="dxa" w:w="408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完善权限、数据、看板、知识治理及部署能力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形成标准化产品与服务方案</w:t>
            </w:r>
          </w:p>
        </w:tc>
      </w:tr>
      <w:tr>
        <w:tc>
          <w:tcPr>
            <w:tcW w:type="dxa" w:w="1701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center"/>
            </w:pPr>
            <w:r>
              <w:rPr>
                <w:rFonts w:ascii="Arial" w:hAnsi="Arial" w:eastAsia="Arial Unicode MS"/>
                <w:b/>
                <w:color w:val="17365D"/>
                <w:sz w:val="18"/>
              </w:rPr>
              <w:t>规模化阶段</w:t>
            </w:r>
          </w:p>
        </w:tc>
        <w:tc>
          <w:tcPr>
            <w:tcW w:type="dxa" w:w="4082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沉淀行业模板、交付规范和持续服务机制</w:t>
            </w:r>
          </w:p>
        </w:tc>
        <w:tc>
          <w:tcPr>
            <w:tcW w:type="dxa" w:w="3288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shd w:fill="F8FAFB"/>
          </w:tcPr>
          <w:p>
            <w:pPr>
              <w:keepNext w:val="0"/>
              <w:spacing w:before="0" w:after="0" w:line="283" w:lineRule="auto"/>
              <w:jc w:val="left"/>
            </w:pPr>
            <w:r>
              <w:rPr>
                <w:rFonts w:ascii="Arial" w:hAnsi="Arial" w:eastAsia="Arial Unicode MS"/>
                <w:b w:val="0"/>
                <w:color w:val="1F252B"/>
                <w:sz w:val="18"/>
              </w:rPr>
              <w:t>提升复制效率与服务覆盖范围</w:t>
            </w:r>
          </w:p>
        </w:tc>
      </w:tr>
    </w:tbl>
    <w:p>
      <w:pPr>
        <w:spacing w:after="40"/>
      </w:pPr>
    </w:p>
    <w:p>
      <w:pPr>
        <w:pStyle w:val="Heading1"/>
      </w:pPr>
      <w:r>
        <w:t>八、AI使用与合规治理说明</w:t>
      </w:r>
    </w:p>
    <w:p>
      <w:pPr>
        <w:keepNext w:val="0"/>
        <w:spacing w:before="0" w:after="140" w:line="312" w:lineRule="auto"/>
      </w:pPr>
      <w:r>
        <w:rPr>
          <w:rFonts w:ascii="Arial" w:hAnsi="Arial" w:eastAsia="Arial Unicode MS"/>
          <w:color w:val="1F252B"/>
          <w:sz w:val="21"/>
        </w:rPr>
        <w:t>元序AI涉及人工智能技术应用。产品设计将遵循合法、正当、必要的原则处理企业数据，并根据实际部署与合作范围落实权限控制、数据隔离、日志留痕、人工复核和安全管理措施。</w:t>
      </w:r>
    </w:p>
    <w:p>
      <w:pPr>
        <w:pStyle w:val="ListBullet"/>
        <w:keepNext w:val="0"/>
        <w:spacing w:before="0" w:after="80" w:line="293" w:lineRule="auto"/>
        <w:ind w:left="420" w:hanging="204"/>
      </w:pPr>
      <w:r>
        <w:rPr>
          <w:rFonts w:ascii="Arial" w:hAnsi="Arial" w:eastAsia="Arial Unicode MS"/>
          <w:color w:val="1F252B"/>
          <w:sz w:val="21"/>
        </w:rPr>
        <w:t>Agent输出主要用于辅助分析、检查、提示和决策支持，不替代企业责任人员的最终判断。</w:t>
      </w:r>
    </w:p>
    <w:p>
      <w:pPr>
        <w:pStyle w:val="ListBullet"/>
        <w:keepNext w:val="0"/>
        <w:spacing w:before="0" w:after="80" w:line="293" w:lineRule="auto"/>
        <w:ind w:left="420" w:hanging="204"/>
      </w:pPr>
      <w:r>
        <w:rPr>
          <w:rFonts w:ascii="Arial" w:hAnsi="Arial" w:eastAsia="Arial Unicode MS"/>
          <w:color w:val="1F252B"/>
          <w:sz w:val="21"/>
        </w:rPr>
        <w:t>客户资料、项目数据和知识内容的使用范围，应以双方合同、授权及适用法律法规为依据。</w:t>
      </w:r>
    </w:p>
    <w:p>
      <w:pPr>
        <w:pStyle w:val="ListBullet"/>
        <w:keepNext w:val="0"/>
        <w:spacing w:before="0" w:after="80" w:line="293" w:lineRule="auto"/>
        <w:ind w:left="420" w:hanging="204"/>
      </w:pPr>
      <w:r>
        <w:rPr>
          <w:rFonts w:ascii="Arial" w:hAnsi="Arial" w:eastAsia="Arial Unicode MS"/>
          <w:color w:val="1F252B"/>
          <w:sz w:val="21"/>
        </w:rPr>
        <w:t>对涉及商业秘密、个人信息或其他敏感数据的内容，拟采取分级授权、最小权限和必要的安全保护措施。</w:t>
      </w:r>
    </w:p>
    <w:p>
      <w:pPr>
        <w:pStyle w:val="ListBullet"/>
        <w:keepNext w:val="0"/>
        <w:spacing w:before="0" w:after="80" w:line="293" w:lineRule="auto"/>
        <w:ind w:left="420" w:hanging="204"/>
      </w:pPr>
      <w:r>
        <w:rPr>
          <w:rFonts w:ascii="Arial" w:hAnsi="Arial" w:eastAsia="Arial Unicode MS"/>
          <w:color w:val="1F252B"/>
          <w:sz w:val="21"/>
        </w:rPr>
        <w:t>产品正式上线前，将结合实际功能、部署模式和数据流向进一步完善隐私、安全及内容治理机制。</w:t>
      </w:r>
    </w:p>
    <w:p>
      <w:pPr>
        <w:pStyle w:val="Heading1"/>
      </w:pPr>
      <w:r>
        <w:t>九、产品界面与材料补充</w:t>
      </w:r>
    </w:p>
    <w:p>
      <w:pPr>
        <w:keepNext w:val="0"/>
        <w:spacing w:before="0" w:after="140" w:line="312" w:lineRule="auto"/>
      </w:pPr>
      <w:r>
        <w:rPr>
          <w:rFonts w:ascii="Arial" w:hAnsi="Arial" w:eastAsia="Arial Unicode MS"/>
          <w:color w:val="1F252B"/>
          <w:sz w:val="21"/>
        </w:rPr>
        <w:t>以下位置用于补充产品截图。建议后续优先加入首页/工作台、诊断报告、知识库、效能看板或Agent协同流程等能够体现核心业务闭环的界面。</w:t>
      </w:r>
    </w:p>
    <w:p>
      <w:pPr>
        <w:keepNext w:val="0"/>
        <w:spacing w:before="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160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元序AI_V1.1.0版本复盘报告_完整优化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60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64" w:lineRule="auto"/>
        <w:jc w:val="center"/>
      </w:pPr>
      <w:r>
        <w:rPr>
          <w:rFonts w:ascii="Arial" w:hAnsi="Arial" w:eastAsia="Arial Unicode MS"/>
          <w:color w:val="68717A"/>
          <w:sz w:val="18"/>
        </w:rPr>
        <w:t>图1　版本复盘与需求交付分析：展示项目交付状态、缺陷风险及项目经理辅助判断</w:t>
      </w:r>
    </w:p>
    <w:p>
      <w:pPr>
        <w:keepNext w:val="0"/>
        <w:spacing w:before="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160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元序AI_研发治理工作台_完整优化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60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64" w:lineRule="auto"/>
        <w:jc w:val="center"/>
      </w:pPr>
      <w:r>
        <w:rPr>
          <w:rFonts w:ascii="Arial" w:hAnsi="Arial" w:eastAsia="Arial Unicode MS"/>
          <w:color w:val="68717A"/>
          <w:sz w:val="18"/>
        </w:rPr>
        <w:t>图2　研发治理工作台：展示项目健康度、需求质量、风险分布及多Agent协同能力（演示数据）</w:t>
      </w:r>
    </w:p>
    <w:p>
      <w:pPr>
        <w:keepNext w:val="0"/>
        <w:spacing w:before="0" w:after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1606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元序AI_Agent协同中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60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64" w:lineRule="auto"/>
        <w:jc w:val="center"/>
      </w:pPr>
      <w:r>
        <w:rPr>
          <w:rFonts w:ascii="Arial" w:hAnsi="Arial" w:eastAsia="Arial Unicode MS"/>
          <w:color w:val="68717A"/>
          <w:sz w:val="18"/>
        </w:rPr>
        <w:t>图3　Agent协同中心：展示任务编排、执行日志、协同输出、运行状态及人工复核机制（演示数据）</w:t>
      </w:r>
    </w:p>
    <w:p>
      <w:pPr>
        <w:pStyle w:val="Heading1"/>
      </w:pPr>
      <w:r>
        <w:t>十、核心业务简介（平台填写短版）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242"/>
            <w:shd w:fill="EAF2F8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Arial" w:hAnsi="Arial" w:eastAsia="Arial Unicode MS"/>
                <w:color w:val="1F252B"/>
                <w:sz w:val="21"/>
              </w:rPr>
              <w:t>元序AI是一款面向50-200人ToB企业研发团队的AI研发交付治理平台。产品参考CMMI、IPD等研发管理标准，通过多Agent协同，为企业提供研发管理诊断、解决方案建设和项目实施交付服务，重点提升需求质量、项目透明度、风险识别能力、知识沉淀及组织效能。当前产品处于开发阶段，主要面向中国市场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1"/>
      </w:pPr>
      <w:r>
        <w:t>十一、真实性说明</w:t>
      </w:r>
    </w:p>
    <w:p>
      <w:pPr>
        <w:keepNext w:val="0"/>
        <w:spacing w:before="0" w:after="140" w:line="312" w:lineRule="auto"/>
      </w:pPr>
      <w:r>
        <w:rPr>
          <w:rFonts w:ascii="Arial" w:hAnsi="Arial" w:eastAsia="Arial Unicode MS"/>
          <w:color w:val="1F252B"/>
          <w:sz w:val="21"/>
        </w:rPr>
        <w:t>本材料根据元序AI当前业务规划及产品开发情况编制，用于公司注册或相关业务说明。文中涉及的规划能力、实施计划和商业模式将根据产品研发、市场验证、客户需求及适用法律法规持续调整。材料未列示未经确认的客户、收入、资质或已上线成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32" w:bottom="1134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 w:eastAsia="Arial Unicode MS"/>
        <w:color w:val="68717A"/>
        <w:sz w:val="16"/>
      </w:rPr>
      <w:t>本材料用于公司注册及业务说明｜2026年6月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Arial" w:hAnsi="Arial" w:eastAsia="Arial Unicode MS"/>
        <w:b/>
        <w:color w:val="68717A"/>
        <w:sz w:val="17"/>
      </w:rPr>
      <w:t>元序AI｜核心产品及业务介绍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Arial Unicode MS" w:hAnsi="Arial Unicode MS" w:eastAsia="Arial Unicode MS"/>
      <w:color w:val="1F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6B9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