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420.0" w:type="dxa"/>
        <w:jc w:val="left"/>
        <w:tblInd w:w="13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107"/>
        <w:gridCol w:w="4313"/>
        <w:tblGridChange w:id="0">
          <w:tblGrid>
            <w:gridCol w:w="4107"/>
            <w:gridCol w:w="4313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42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产品名称Product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密级Confidentiality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详细设计文档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内部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产品版本Product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Total  pages 共页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08" w:right="0" w:hanging="10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宋体" w:cs="宋体" w:eastAsia="宋体" w:hAnsi="宋体"/>
          <w:b w:val="1"/>
          <w:i w:val="1"/>
          <w:smallCaps w:val="0"/>
          <w:strike w:val="0"/>
          <w:color w:val="000000"/>
          <w:sz w:val="52"/>
          <w:szCs w:val="52"/>
          <w:u w:val="none"/>
          <w:vertAlign w:val="baseline"/>
          <w:rtl w:val="0"/>
        </w:rPr>
        <w:t xml:space="preserve">详细设计文档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300.0" w:type="dxa"/>
        <w:jc w:val="center"/>
        <w:tblInd w:w="13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096"/>
        <w:gridCol w:w="2767"/>
        <w:gridCol w:w="1129"/>
        <w:gridCol w:w="2308"/>
        <w:tblGridChange w:id="0">
          <w:tblGrid>
            <w:gridCol w:w="2096"/>
            <w:gridCol w:w="2767"/>
            <w:gridCol w:w="1129"/>
            <w:gridCol w:w="2308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Prepared by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拟制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tabs>
                <w:tab w:val="center" w:pos="1372"/>
                <w:tab w:val="right" w:pos="2625"/>
              </w:tabs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张翔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日期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2016-0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5-05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Reviewed by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审核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日期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Approved by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批准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vertAlign w:val="baseline"/>
                <w:rtl w:val="0"/>
              </w:rPr>
              <w:t xml:space="preserve">日期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108" w:right="0" w:hanging="108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drawing>
          <wp:inline distB="0" distT="0" distL="0" distR="0">
            <wp:extent cx="1233170" cy="96964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969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36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宋体" w:cs="宋体" w:eastAsia="宋体" w:hAnsi="宋体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ZHICloud Technologies Co., Ltd. 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36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宋体" w:cs="宋体" w:eastAsia="宋体" w:hAnsi="宋体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致云科技有限公司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宋体" w:cs="宋体" w:eastAsia="宋体" w:hAnsi="宋体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All rights reserved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宋体" w:cs="宋体" w:eastAsia="宋体" w:hAnsi="宋体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版权所有  侵权必究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宋体" w:cs="宋体" w:eastAsia="宋体" w:hAnsi="宋体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（REP01T01 V0.1 / for internal use only）</w:t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宋体" w:cs="宋体" w:eastAsia="宋体" w:hAnsi="宋体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（REP01T01 V0.1 / 仅供内部使用）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ind w:left="425" w:right="0" w:hanging="425"/>
        <w:jc w:val="both"/>
        <w:rPr>
          <w:rFonts w:ascii="宋体" w:cs="宋体" w:eastAsia="宋体" w:hAnsi="宋体"/>
          <w:i w:val="0"/>
          <w:color w:val="000000"/>
          <w:sz w:val="40"/>
          <w:szCs w:val="40"/>
          <w:u w:val="none"/>
        </w:rPr>
      </w:pPr>
      <w:r w:rsidDel="00000000" w:rsidR="00000000" w:rsidRPr="00000000">
        <w:rPr>
          <w:rFonts w:ascii="宋体" w:cs="宋体" w:eastAsia="宋体" w:hAnsi="宋体"/>
          <w:b w:val="1"/>
          <w:sz w:val="40"/>
          <w:szCs w:val="40"/>
          <w:rtl w:val="0"/>
        </w:rPr>
        <w:t xml:space="preserve">文档介绍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1.1目的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宋体" w:cs="宋体" w:eastAsia="宋体" w:hAnsi="宋体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本文档描述</w:t>
      </w:r>
      <w:r w:rsidDel="00000000" w:rsidR="00000000" w:rsidRPr="00000000">
        <w:rPr>
          <w:rFonts w:ascii="宋体" w:cs="宋体" w:eastAsia="宋体" w:hAnsi="宋体"/>
          <w:sz w:val="21"/>
          <w:szCs w:val="21"/>
          <w:rtl w:val="0"/>
        </w:rPr>
        <w:t xml:space="preserve">VPC功能的详细设计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1.2术语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20" w:right="0" w:hanging="420"/>
        <w:jc w:val="both"/>
        <w:rPr>
          <w:rFonts w:ascii="Calibri" w:cs="Calibri" w:eastAsia="Calibri" w:hAnsi="Calibri"/>
          <w:b w:val="0"/>
          <w:i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gw:http gateway, 致云云管理平台http网关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20" w:right="0" w:hanging="420"/>
        <w:jc w:val="both"/>
        <w:rPr>
          <w:rFonts w:ascii="Calibri" w:cs="Calibri" w:eastAsia="Calibri" w:hAnsi="Calibri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cs:control server</w:t>
      </w:r>
      <w:r w:rsidDel="00000000" w:rsidR="00000000" w:rsidRPr="00000000">
        <w:rPr>
          <w:rFonts w:ascii="宋体" w:cs="宋体" w:eastAsia="宋体" w:hAnsi="宋体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，致云云管理平台控制服务器模块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20" w:right="0" w:hanging="420"/>
        <w:jc w:val="both"/>
        <w:rPr>
          <w:rFonts w:ascii="Calibri" w:cs="Calibri" w:eastAsia="Calibri" w:hAnsi="Calibri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nc:node client</w:t>
      </w:r>
      <w:r w:rsidDel="00000000" w:rsidR="00000000" w:rsidRPr="00000000">
        <w:rPr>
          <w:rFonts w:ascii="宋体" w:cs="宋体" w:eastAsia="宋体" w:hAnsi="宋体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，致云云管理平台计算节点模块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425" w:right="0" w:hanging="425"/>
        <w:jc w:val="both"/>
        <w:rPr>
          <w:rFonts w:ascii="宋体" w:cs="宋体" w:eastAsia="宋体" w:hAnsi="宋体"/>
          <w:i w:val="0"/>
          <w:color w:val="000000"/>
          <w:sz w:val="40"/>
          <w:szCs w:val="40"/>
          <w:u w:val="none"/>
        </w:rPr>
      </w:pPr>
      <w:r w:rsidDel="00000000" w:rsidR="00000000" w:rsidRPr="00000000">
        <w:rPr>
          <w:rFonts w:ascii="宋体" w:cs="宋体" w:eastAsia="宋体" w:hAnsi="宋体"/>
          <w:b w:val="1"/>
          <w:sz w:val="40"/>
          <w:szCs w:val="40"/>
          <w:rtl w:val="0"/>
        </w:rPr>
        <w:t xml:space="preserve">总体设计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2.1功能描述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both"/>
        <w:rPr>
          <w:rFonts w:ascii="宋体" w:cs="宋体" w:eastAsia="宋体" w:hAnsi="宋体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Fonts w:ascii="宋体" w:cs="宋体" w:eastAsia="宋体" w:hAnsi="宋体"/>
          <w:color w:val="333333"/>
          <w:sz w:val="21"/>
          <w:szCs w:val="21"/>
          <w:rtl w:val="0"/>
        </w:rPr>
        <w:t xml:space="preserve">新建</w:t>
      </w: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rtl w:val="0"/>
        </w:rPr>
        <w:t xml:space="preserve">VPC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both"/>
        <w:rPr>
          <w:rFonts w:ascii="Calibri" w:cs="Calibri" w:eastAsia="Calibri" w:hAnsi="Calibri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rtl w:val="0"/>
        </w:rPr>
        <w:t xml:space="preserve">定义VPC名称，可自定义VPC名称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both"/>
        <w:rPr>
          <w:rFonts w:ascii="Calibri" w:cs="Calibri" w:eastAsia="Calibri" w:hAnsi="Calibri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rtl w:val="0"/>
        </w:rPr>
        <w:t xml:space="preserve">选择所属分组，即管理员可选择此VPC是来自哪个用户分组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both"/>
        <w:rPr>
          <w:rFonts w:ascii="Calibri" w:cs="Calibri" w:eastAsia="Calibri" w:hAnsi="Calibri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rtl w:val="0"/>
        </w:rPr>
        <w:t xml:space="preserve">添加主机，即此VPC从某个用户分组里添加或移出哪些主机组成VPC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both"/>
        <w:rPr>
          <w:rFonts w:ascii="Calibri" w:cs="Calibri" w:eastAsia="Calibri" w:hAnsi="Calibri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rtl w:val="0"/>
        </w:rPr>
        <w:t xml:space="preserve">描述，管理员对VPC的注释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rtl w:val="0"/>
        </w:rPr>
        <w:t xml:space="preserve">修改VPC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both"/>
        <w:rPr>
          <w:rFonts w:ascii="Calibri" w:cs="Calibri" w:eastAsia="Calibri" w:hAnsi="Calibri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rtl w:val="0"/>
        </w:rPr>
        <w:t xml:space="preserve">修改VPC名称，可自定义VPC名称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both"/>
        <w:rPr>
          <w:rFonts w:ascii="Calibri" w:cs="Calibri" w:eastAsia="Calibri" w:hAnsi="Calibri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所属分组，仅显示，不可修改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both"/>
        <w:rPr>
          <w:rFonts w:ascii="Calibri" w:cs="Calibri" w:eastAsia="Calibri" w:hAnsi="Calibri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添加主机，即即此VPC从某个用户分组里添加或移出哪些主机组成VPC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both"/>
        <w:rPr>
          <w:rFonts w:ascii="Calibri" w:cs="Calibri" w:eastAsia="Calibri" w:hAnsi="Calibri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描述，管理员对VPC的注释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删除／批量删除VPC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both"/>
        <w:rPr>
          <w:rFonts w:ascii="Calibri" w:cs="Calibri" w:eastAsia="Calibri" w:hAnsi="Calibri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把此VPC逻辑关系删除，VPC里的云桌面主机恢复原非VPC状态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批量删除勾选的多个VPC的逻辑关系，每个VPC里的云桌面主机恢复原非VPC状态。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VPC详情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both"/>
        <w:rPr>
          <w:rFonts w:ascii="Calibri" w:cs="Calibri" w:eastAsia="Calibri" w:hAnsi="Calibri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云主机名称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both"/>
        <w:rPr>
          <w:rFonts w:ascii="Calibri" w:cs="Calibri" w:eastAsia="Calibri" w:hAnsi="Calibri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内网IP（即云主机在VPC内的局域网IP）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both"/>
        <w:rPr>
          <w:rFonts w:ascii="Calibri" w:cs="Calibri" w:eastAsia="Calibri" w:hAnsi="Calibri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外网IP（即云主机在VPC内的外网IP，如有的话）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both"/>
        <w:rPr>
          <w:rFonts w:ascii="Calibri" w:cs="Calibri" w:eastAsia="Calibri" w:hAnsi="Calibri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所属分组（即云主机的所属分组）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both"/>
        <w:rPr>
          <w:rFonts w:ascii="Calibri" w:cs="Calibri" w:eastAsia="Calibri" w:hAnsi="Calibri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分配VPC时间（加入此VPC的时间）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运行状态（与桌面管理-桌面列表-运行状态一致）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所属用户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操作：开机、关机、从光盘启动、配置修改、磁盘管理、备份与恢复、重装系统、资源监控（以上操作功能，与桌面管理-桌面列表-运行状态一致），移出VPC（即把此云主机移出此VPC）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批量操作-开机、关机、移出VPC（即批量对云主机操作）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1"/>
          <w:sz w:val="28"/>
          <w:szCs w:val="28"/>
          <w:rtl w:val="0"/>
        </w:rPr>
        <w:t xml:space="preserve">2.2 工作流程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创建／修改VPC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1714500" cy="6057900"/>
            <wp:effectExtent b="0" l="0" r="0" t="0"/>
            <wp:docPr descr="VPC.png" id="1" name="image03.png"/>
            <a:graphic>
              <a:graphicData uri="http://schemas.openxmlformats.org/drawingml/2006/picture">
                <pic:pic>
                  <pic:nvPicPr>
                    <pic:cNvPr descr="VPC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删除VPC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1714500" cy="5514975"/>
            <wp:effectExtent b="0" l="0" r="0" t="0"/>
            <wp:docPr descr="删除VPC.png" id="3" name="image05.png"/>
            <a:graphic>
              <a:graphicData uri="http://schemas.openxmlformats.org/drawingml/2006/picture">
                <pic:pic>
                  <pic:nvPicPr>
                    <pic:cNvPr descr="删除VPC.png"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1"/>
          <w:sz w:val="28"/>
          <w:szCs w:val="28"/>
          <w:rtl w:val="0"/>
        </w:rPr>
        <w:t xml:space="preserve">3.详细设计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该功能在云平台管理系统中已实现了大部分功能，代码已移植到云桌面系统中。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开启功能步骤：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创建相关权限：在权限管理中添加TransFormPrivilegeConstant.java文件中定义的VPC相关权限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在桌面管理菜单中创建桌面VPC子菜单，并关联相关的权限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角色管理菜单：配置相关的角色，勾选vpc的菜单权限和功能菜单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spacing w:after="0" w:before="0" w:line="24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注销重新登录，开启VPC功能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新的产品设计在创建、修改时界面上会有些小改动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Georgia"/>
  <w:font w:name="Calibri"/>
  <w:font w:name="SimSun"/>
  <w:font w:name="Arimo">
    <w:embedRegular r:id="rId1" w:subsetted="0"/>
    <w:embedBold r:id="rId2" w:subsetted="0"/>
    <w:embedItalic r:id="rId3" w:subsetted="0"/>
    <w:embedBoldItalic r:id="rId4" w:subsetted="0"/>
  </w:font>
  <w:font w:name="宋体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right" w:pos="9020"/>
      </w:tabs>
      <w:spacing w:after="72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right" w:pos="902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420" w:firstLine="0"/>
      </w:pPr>
      <w:rPr>
        <w:smallCaps w:val="0"/>
        <w:strike w:val="0"/>
        <w:vertAlign w:val="baseline"/>
      </w:rPr>
    </w:lvl>
    <w:lvl w:ilvl="1">
      <w:start w:val="1"/>
      <w:numFmt w:val="lowerLetter"/>
      <w:lvlText w:val="%2)"/>
      <w:lvlJc w:val="left"/>
      <w:pPr>
        <w:ind w:left="840" w:firstLine="42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1260" w:firstLine="733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1680" w:firstLine="12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)"/>
      <w:lvlJc w:val="left"/>
      <w:pPr>
        <w:ind w:left="2100" w:firstLine="168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2520" w:firstLine="1993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2940" w:firstLine="2520"/>
      </w:pPr>
      <w:rPr>
        <w:smallCaps w:val="0"/>
        <w:strike w:val="0"/>
        <w:vertAlign w:val="baseline"/>
      </w:rPr>
    </w:lvl>
    <w:lvl w:ilvl="7">
      <w:start w:val="1"/>
      <w:numFmt w:val="lowerLetter"/>
      <w:lvlText w:val="%8)"/>
      <w:lvlJc w:val="left"/>
      <w:pPr>
        <w:ind w:left="3360" w:firstLine="294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3780" w:firstLine="3253"/>
      </w:pPr>
      <w:rPr>
        <w:smallCaps w:val="0"/>
        <w:strike w:val="0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425" w:firstLine="0"/>
      </w:pPr>
      <w:rPr>
        <w:b w:val="1"/>
        <w:smallCaps w:val="0"/>
        <w:strike w:val="0"/>
        <w:vertAlign w:val="baseline"/>
      </w:rPr>
    </w:lvl>
    <w:lvl w:ilvl="1">
      <w:start w:val="1"/>
      <w:numFmt w:val="decimal"/>
      <w:lvlText w:val="%1.%2."/>
      <w:lvlJc w:val="left"/>
      <w:pPr>
        <w:ind w:left="567" w:firstLine="0"/>
      </w:pPr>
      <w:rPr>
        <w:b w:val="1"/>
        <w:smallCaps w:val="0"/>
        <w:strike w:val="0"/>
        <w:vertAlign w:val="baseline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b w:val="1"/>
        <w:smallCaps w:val="0"/>
        <w:strike w:val="0"/>
        <w:vertAlign w:val="baseline"/>
      </w:rPr>
    </w:lvl>
    <w:lvl w:ilvl="3">
      <w:start w:val="1"/>
      <w:numFmt w:val="decimal"/>
      <w:lvlText w:val="%1.%2.%3.%4."/>
      <w:lvlJc w:val="left"/>
      <w:pPr>
        <w:ind w:left="851" w:firstLine="0"/>
      </w:pPr>
      <w:rPr>
        <w:b w:val="1"/>
        <w:smallCaps w:val="0"/>
        <w:strike w:val="0"/>
        <w:vertAlign w:val="baseline"/>
      </w:rPr>
    </w:lvl>
    <w:lvl w:ilvl="4">
      <w:start w:val="1"/>
      <w:numFmt w:val="decimal"/>
      <w:lvlText w:val="%1.%2.%3.%4.%5."/>
      <w:lvlJc w:val="left"/>
      <w:pPr>
        <w:ind w:left="992" w:firstLine="0"/>
      </w:pPr>
      <w:rPr>
        <w:b w:val="1"/>
        <w:smallCaps w:val="0"/>
        <w:strike w:val="0"/>
        <w:vertAlign w:val="baseline"/>
      </w:rPr>
    </w:lvl>
    <w:lvl w:ilvl="5">
      <w:start w:val="1"/>
      <w:numFmt w:val="decimal"/>
      <w:lvlText w:val="%1.%2.%3.%4.%5.%6."/>
      <w:lvlJc w:val="left"/>
      <w:pPr>
        <w:ind w:left="1134" w:firstLine="0"/>
      </w:pPr>
      <w:rPr>
        <w:b w:val="1"/>
        <w:smallCaps w:val="0"/>
        <w:strike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firstLine="0"/>
      </w:pPr>
      <w:rPr>
        <w:b w:val="1"/>
        <w:smallCaps w:val="0"/>
        <w:strike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firstLine="0"/>
      </w:pPr>
      <w:rPr>
        <w:b w:val="1"/>
        <w:smallCaps w:val="0"/>
        <w:strike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firstLine="0"/>
      </w:pPr>
      <w:rPr>
        <w:b w:val="1"/>
        <w:smallCaps w:val="0"/>
        <w:strike w:val="0"/>
        <w:vertAlign w:val="baseline"/>
      </w:rPr>
    </w:lvl>
  </w:abstractNum>
  <w:abstractNum w:abstractNumId="5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425" w:firstLine="0"/>
      </w:pPr>
      <w:rPr>
        <w:b w:val="1"/>
        <w:smallCaps w:val="0"/>
        <w:strike w:val="0"/>
        <w:vertAlign w:val="baseline"/>
      </w:rPr>
    </w:lvl>
    <w:lvl w:ilvl="1">
      <w:start w:val="1"/>
      <w:numFmt w:val="decimal"/>
      <w:lvlText w:val="%1.%2."/>
      <w:lvlJc w:val="left"/>
      <w:pPr>
        <w:ind w:left="567" w:firstLine="0"/>
      </w:pPr>
      <w:rPr>
        <w:b w:val="1"/>
        <w:smallCaps w:val="0"/>
        <w:strike w:val="0"/>
        <w:vertAlign w:val="baseline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b w:val="1"/>
        <w:smallCaps w:val="0"/>
        <w:strike w:val="0"/>
        <w:vertAlign w:val="baseline"/>
      </w:rPr>
    </w:lvl>
    <w:lvl w:ilvl="3">
      <w:start w:val="1"/>
      <w:numFmt w:val="decimal"/>
      <w:lvlText w:val="%1.%2.%3.%4."/>
      <w:lvlJc w:val="left"/>
      <w:pPr>
        <w:ind w:left="851" w:firstLine="0"/>
      </w:pPr>
      <w:rPr>
        <w:b w:val="1"/>
        <w:smallCaps w:val="0"/>
        <w:strike w:val="0"/>
        <w:vertAlign w:val="baseline"/>
      </w:rPr>
    </w:lvl>
    <w:lvl w:ilvl="4">
      <w:start w:val="1"/>
      <w:numFmt w:val="decimal"/>
      <w:lvlText w:val="%1.%2.%3.%4.%5."/>
      <w:lvlJc w:val="left"/>
      <w:pPr>
        <w:ind w:left="992" w:firstLine="0"/>
      </w:pPr>
      <w:rPr>
        <w:b w:val="1"/>
        <w:smallCaps w:val="0"/>
        <w:strike w:val="0"/>
        <w:vertAlign w:val="baseline"/>
      </w:rPr>
    </w:lvl>
    <w:lvl w:ilvl="5">
      <w:start w:val="1"/>
      <w:numFmt w:val="decimal"/>
      <w:lvlText w:val="%1.%2.%3.%4.%5.%6."/>
      <w:lvlJc w:val="left"/>
      <w:pPr>
        <w:ind w:left="1134" w:firstLine="0"/>
      </w:pPr>
      <w:rPr>
        <w:b w:val="1"/>
        <w:smallCaps w:val="0"/>
        <w:strike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firstLine="0"/>
      </w:pPr>
      <w:rPr>
        <w:b w:val="1"/>
        <w:smallCaps w:val="0"/>
        <w:strike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firstLine="0"/>
      </w:pPr>
      <w:rPr>
        <w:b w:val="1"/>
        <w:smallCaps w:val="0"/>
        <w:strike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firstLine="0"/>
      </w:pPr>
      <w:rPr>
        <w:b w:val="1"/>
        <w:smallCaps w:val="0"/>
        <w:strike w:val="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spacing w:after="240" w:before="240" w:line="240" w:lineRule="auto"/>
      <w:ind w:left="0" w:right="0" w:firstLine="0"/>
      <w:jc w:val="both"/>
    </w:pPr>
    <w:rPr>
      <w:rFonts w:ascii="Arimo" w:cs="Arimo" w:eastAsia="Arimo" w:hAnsi="Arimo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260" w:before="260" w:line="416" w:lineRule="auto"/>
      <w:ind w:left="0" w:right="0" w:firstLine="0"/>
      <w:jc w:val="both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4.png"/><Relationship Id="rId6" Type="http://schemas.openxmlformats.org/officeDocument/2006/relationships/image" Target="media/image03.png"/><Relationship Id="rId7" Type="http://schemas.openxmlformats.org/officeDocument/2006/relationships/image" Target="media/image0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