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A Major Project Final Report on</w:t>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6"/>
          <w:szCs w:val="36"/>
        </w:rPr>
        <w:t xml:space="preserve">FLINT SECURE</w:t>
      </w:r>
    </w:p>
    <w:p>
      <w:pPr>
        <w:spacing w:after="80" w:before="80"/>
        <w:jc w:val="center"/>
      </w:pPr>
      <w:r>
        <w:rPr>
          <w:rFonts w:ascii="Times New Roman" w:cs="Times New Roman" w:eastAsia="Times New Roman" w:hAnsi="Times New Roman"/>
          <w:b/>
          <w:bCs/>
          <w:sz w:val="24"/>
          <w:szCs w:val="24"/>
        </w:rPr>
        <w:t xml:space="preserve">Real-Time Fraud Detection and Device Intelligence Platform</w:t>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Submitted in Partial Fulfillment of the Requirements for</w:t>
      </w:r>
    </w:p>
    <w:p>
      <w:pPr>
        <w:spacing w:after="80" w:before="80"/>
        <w:jc w:val="center"/>
      </w:pPr>
      <w:r>
        <w:rPr>
          <w:rFonts w:ascii="Times New Roman" w:cs="Times New Roman" w:eastAsia="Times New Roman" w:hAnsi="Times New Roman"/>
          <w:b/>
          <w:bCs/>
          <w:sz w:val="24"/>
          <w:szCs w:val="24"/>
        </w:rPr>
        <w:t xml:space="preserve">the Degree of Bachelor of Engineering in Computer Engineering</w:t>
      </w:r>
    </w:p>
    <w:p>
      <w:pPr>
        <w:spacing w:after="80" w:before="80"/>
        <w:jc w:val="center"/>
      </w:pPr>
      <w:r>
        <w:rPr>
          <w:rFonts w:ascii="Times New Roman" w:cs="Times New Roman" w:eastAsia="Times New Roman" w:hAnsi="Times New Roman"/>
          <w:sz w:val="24"/>
          <w:szCs w:val="24"/>
        </w:rPr>
        <w:t xml:space="preserve">under Pokhara University</w:t>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Submitted by:</w:t>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Aaditya Binod Yadav</w:t>
      </w:r>
    </w:p>
    <w:p>
      <w:pPr>
        <w:spacing w:after="80" w:before="80"/>
        <w:jc w:val="center"/>
      </w:pPr>
      <w:r>
        <w:rPr>
          <w:rFonts w:ascii="Times New Roman" w:cs="Times New Roman" w:eastAsia="Times New Roman" w:hAnsi="Times New Roman"/>
          <w:sz w:val="24"/>
          <w:szCs w:val="24"/>
        </w:rPr>
        <w:t xml:space="preserve">Roll No.: XXXXXX</w:t>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Under the supervision of</w:t>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[Supervisor Name]</w:t>
      </w:r>
    </w:p>
    <w:p>
      <w:pPr>
        <w:spacing w:after="80" w:before="80"/>
        <w:jc w:val="center"/>
      </w:pPr>
      <w:r>
        <w:rPr>
          <w:rFonts w:ascii="Times New Roman" w:cs="Times New Roman" w:eastAsia="Times New Roman" w:hAnsi="Times New Roman"/>
          <w:sz w:val="24"/>
          <w:szCs w:val="24"/>
        </w:rPr>
        <w:t xml:space="preserve">[Designation]</w:t>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Date: Jun 04, 2026</w:t>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Department of Computer Engineering</w:t>
      </w:r>
    </w:p>
    <w:p>
      <w:pPr>
        <w:spacing w:after="80" w:before="80"/>
        <w:jc w:val="center"/>
      </w:pPr>
      <w:r>
        <w:rPr>
          <w:rFonts w:ascii="Arial Black" w:cs="Arial Black" w:eastAsia="Arial Black" w:hAnsi="Arial Black"/>
          <w:b/>
          <w:bCs/>
          <w:sz w:val="28"/>
          <w:szCs w:val="28"/>
        </w:rPr>
        <w:t xml:space="preserve">NEPAL COLLEGE OF INFORMATION TECHNOLOGY</w:t>
      </w:r>
    </w:p>
    <w:p>
      <w:pPr>
        <w:spacing w:after="80" w:before="80"/>
        <w:jc w:val="center"/>
      </w:pPr>
      <w:r>
        <w:rPr>
          <w:rFonts w:ascii="Times New Roman" w:cs="Times New Roman" w:eastAsia="Times New Roman" w:hAnsi="Times New Roman"/>
          <w:sz w:val="22"/>
          <w:szCs w:val="22"/>
        </w:rPr>
        <w:t xml:space="preserve">Balkumari, Lalitpur, Nepal</w:t>
      </w:r>
    </w:p>
    <w:p>
      <w:r>
        <w:br w:type="page"/>
      </w:r>
    </w:p>
    <w:p>
      <w:pPr>
        <w:pStyle w:val="Heading1"/>
        <w:spacing w:after="180" w:before="360"/>
      </w:pPr>
      <w:r>
        <w:rPr>
          <w:rFonts w:ascii="Times New Roman" w:cs="Times New Roman" w:eastAsia="Times New Roman" w:hAnsi="Times New Roman"/>
          <w:b/>
          <w:bCs/>
          <w:sz w:val="28"/>
          <w:szCs w:val="28"/>
        </w:rPr>
        <w:t xml:space="preserve">Abstract</w:t>
      </w:r>
    </w:p>
    <w:p>
      <w:pPr>
        <w:spacing w:after="120" w:before="120"/>
      </w:pPr>
      <w:r>
        <w:rPr>
          <w:rFonts w:ascii="Times New Roman" w:cs="Times New Roman" w:eastAsia="Times New Roman" w:hAnsi="Times New Roman"/>
          <w:sz w:val="24"/>
          <w:szCs w:val="24"/>
        </w:rPr>
        <w:t xml:space="preserve">Flint Secure is a real-time fraud detection and device intelligence platform designed for Nepal's digital payment ecosystem. The platform addresses the growing challenge of financial fraud in emerging market fintech, where transaction volumes are rising rapidly but fraud prevention infrastructure remains immature. Nepal's inclusion on the FATF grey list in 2020 and the documented 70% increase in SIM swap attacks (FIU-Nepal, 2024) underline the urgency of robust, locally calibrated fraud detection.</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Flint Secure exposes two primary endpoints: a device identification API that establishes stable device identities across browser and OS updates using a three-layer fingerprint matching cascade, and a risk scoring API that evaluates transaction risk in real-time across seven independent signal dimensions — device trust, transaction amount, temporal behavior, velocity patterns, network origin, identity consistency, and recipient risk. The system produces a composite risk score from 0–100 and an ALLOW, FLAG, or BLOCK decision within a sub-50ms P95 latency target at approximately 3,200 requests per second.</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The backend is implemented in Go using a chi HTTP router, two Redis instances (persist and cache), NATS JetStream for asynchronous event streaming, and PostgreSQL for analytics and compliance storage. Device intelligence is maintained through a 168-test suite achieving 92%+ pass rate, native Android, iOS, and JavaScript SDKs for signal collection, and an async Python worker pipeline for trust score computation, user behavioral profiling, recipient risk aggregation, and quota management.</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Keywords: fraud detection, device fingerprinting, real-time risk scoring, fintech security, Nepal digital payments, FATF compliance, SIM swap detection, behavioral profiling</w:t>
      </w:r>
    </w:p>
    <w:p>
      <w:r>
        <w:br w:type="page"/>
      </w:r>
    </w:p>
    <w:p>
      <w:pPr>
        <w:pStyle w:val="Heading1"/>
        <w:spacing w:after="180" w:before="360"/>
      </w:pPr>
      <w:r>
        <w:rPr>
          <w:rFonts w:ascii="Times New Roman" w:cs="Times New Roman" w:eastAsia="Times New Roman" w:hAnsi="Times New Roman"/>
          <w:b/>
          <w:bCs/>
          <w:sz w:val="28"/>
          <w:szCs w:val="28"/>
        </w:rPr>
        <w:t xml:space="preserve">Table of Contents</w:t>
      </w:r>
    </w:p>
    <w:p>
      <w:pPr>
        <w:spacing w:after="120" w:before="120"/>
        <w:jc w:val="center"/>
      </w:pPr>
      <w:r>
        <w:rPr>
          <w:rFonts w:ascii="Times New Roman" w:cs="Times New Roman" w:eastAsia="Times New Roman" w:hAnsi="Times New Roman"/>
          <w:sz w:val="24"/>
          <w:szCs w:val="24"/>
        </w:rPr>
        <w:t xml:space="preserve">[Generated by Word — Update Fields after opening]</w:t>
      </w:r>
    </w:p>
    <w:p>
      <w:r>
        <w:br w:type="page"/>
      </w:r>
    </w:p>
    <w:p>
      <w:pPr>
        <w:pStyle w:val="Heading1"/>
        <w:spacing w:after="180" w:before="360"/>
      </w:pPr>
      <w:r>
        <w:rPr>
          <w:rFonts w:ascii="Times New Roman" w:cs="Times New Roman" w:eastAsia="Times New Roman" w:hAnsi="Times New Roman"/>
          <w:b/>
          <w:bCs/>
          <w:sz w:val="28"/>
          <w:szCs w:val="28"/>
        </w:rPr>
        <w:t xml:space="preserve">1. Introduction</w:t>
      </w:r>
    </w:p>
    <w:p>
      <w:pPr>
        <w:pStyle w:val="Heading2"/>
        <w:spacing w:after="120" w:before="240"/>
      </w:pPr>
      <w:r>
        <w:rPr>
          <w:rFonts w:ascii="Times New Roman" w:cs="Times New Roman" w:eastAsia="Times New Roman" w:hAnsi="Times New Roman"/>
          <w:b/>
          <w:bCs/>
          <w:sz w:val="26"/>
          <w:szCs w:val="26"/>
        </w:rPr>
        <w:t xml:space="preserve">1.1 Background</w:t>
      </w:r>
    </w:p>
    <w:p>
      <w:pPr>
        <w:spacing w:after="120" w:before="120"/>
      </w:pPr>
      <w:r>
        <w:rPr>
          <w:rFonts w:ascii="Times New Roman" w:cs="Times New Roman" w:eastAsia="Times New Roman" w:hAnsi="Times New Roman"/>
          <w:sz w:val="24"/>
          <w:szCs w:val="24"/>
        </w:rPr>
        <w:t xml:space="preserve">Nepal's digital payment landscape has experienced exponential growth over the past five years. Mobile wallet adoption has accelerated across platforms including eSewa, Khalti, and IME Digital, with the Nepal Rastra Bank reporting over 10 million registered mobile banking users as of 2024. This growth, while economically significant, has created an expanded attack surface for financial fraud.</w:t>
      </w:r>
    </w:p>
    <w:p>
      <w:pPr>
        <w:spacing w:after="120" w:before="120"/>
      </w:pPr>
      <w:r>
        <w:rPr>
          <w:rFonts w:ascii="Times New Roman" w:cs="Times New Roman" w:eastAsia="Times New Roman" w:hAnsi="Times New Roman"/>
          <w:sz w:val="24"/>
          <w:szCs w:val="24"/>
        </w:rPr>
        <w:t xml:space="preserve">Despite increasing transaction volumes, most digital payment service providers in Nepal rely on rule-based fraud detection systems — simple threshold checks on transaction amounts or frequency. These systems are inadequate against modern fraud vectors including SIM swap attacks, account takeover via credential stuffing, device emulation, and money mule networks.</w:t>
      </w:r>
    </w:p>
    <w:p>
      <w:pPr>
        <w:spacing w:after="120" w:before="120"/>
      </w:pPr>
      <w:r>
        <w:rPr>
          <w:rFonts w:ascii="Times New Roman" w:cs="Times New Roman" w:eastAsia="Times New Roman" w:hAnsi="Times New Roman"/>
          <w:sz w:val="24"/>
          <w:szCs w:val="24"/>
        </w:rPr>
        <w:t xml:space="preserve">Nepal's inclusion on the Financial Action Task Force (FATF) grey list placed regulatory pressure on financial institutions to strengthen their anti-money laundering (AML) and fraud prevention infrastructure. The Financial Intelligence Unit of Nepal (FIU-Nepal) documented a 70% year-on-year increase in SIM swap fraud in its 2024 annual report, establishing this as the primary account takeover vector in the domestic market.</w:t>
      </w:r>
    </w:p>
    <w:p>
      <w:pPr>
        <w:pStyle w:val="Heading2"/>
        <w:spacing w:after="120" w:before="240"/>
      </w:pPr>
      <w:r>
        <w:rPr>
          <w:rFonts w:ascii="Times New Roman" w:cs="Times New Roman" w:eastAsia="Times New Roman" w:hAnsi="Times New Roman"/>
          <w:b/>
          <w:bCs/>
          <w:sz w:val="26"/>
          <w:szCs w:val="26"/>
        </w:rPr>
        <w:t xml:space="preserve">1.2 Problem Statement</w:t>
      </w:r>
    </w:p>
    <w:p>
      <w:pPr>
        <w:spacing w:after="120" w:before="120"/>
      </w:pPr>
      <w:r>
        <w:rPr>
          <w:rFonts w:ascii="Times New Roman" w:cs="Times New Roman" w:eastAsia="Times New Roman" w:hAnsi="Times New Roman"/>
          <w:sz w:val="24"/>
          <w:szCs w:val="24"/>
        </w:rPr>
        <w:t xml:space="preserve">The fundamental problem is the absence of real-time, device-level fraud intelligence in Nepal's fintech stack. Current systems share three critical limitations:</w:t>
      </w:r>
    </w:p>
    <w:p>
      <w:pPr>
        <w:pStyle w:val="ListParagraph"/>
        <w:numPr>
          <w:ilvl w:val="0"/>
          <w:numId w:val="2"/>
        </w:numPr>
        <w:spacing w:after="60" w:before="60"/>
      </w:pPr>
      <w:r>
        <w:rPr>
          <w:rFonts w:ascii="Times New Roman" w:cs="Times New Roman" w:eastAsia="Times New Roman" w:hAnsi="Times New Roman"/>
          <w:sz w:val="24"/>
          <w:szCs w:val="24"/>
        </w:rPr>
        <w:t xml:space="preserve">Rule-based systems cannot adapt to evolving fraud patterns without manual reconfiguration.</w:t>
      </w:r>
    </w:p>
    <w:p>
      <w:pPr>
        <w:pStyle w:val="ListParagraph"/>
        <w:numPr>
          <w:ilvl w:val="0"/>
          <w:numId w:val="2"/>
        </w:numPr>
        <w:spacing w:after="60" w:before="60"/>
      </w:pPr>
      <w:r>
        <w:rPr>
          <w:rFonts w:ascii="Times New Roman" w:cs="Times New Roman" w:eastAsia="Times New Roman" w:hAnsi="Times New Roman"/>
          <w:sz w:val="24"/>
          <w:szCs w:val="24"/>
        </w:rPr>
        <w:t xml:space="preserve">No device identity layer exists — transactions cannot be attributed to physical devices, preventing detection of one-device-many-accounts patterns characteristic of money mule operations.</w:t>
      </w:r>
    </w:p>
    <w:p>
      <w:pPr>
        <w:pStyle w:val="ListParagraph"/>
        <w:numPr>
          <w:ilvl w:val="0"/>
          <w:numId w:val="2"/>
        </w:numPr>
        <w:spacing w:after="60" w:before="60"/>
      </w:pPr>
      <w:r>
        <w:rPr>
          <w:rFonts w:ascii="Times New Roman" w:cs="Times New Roman" w:eastAsia="Times New Roman" w:hAnsi="Times New Roman"/>
          <w:sz w:val="24"/>
          <w:szCs w:val="24"/>
        </w:rPr>
        <w:t xml:space="preserve">Behavioral profiling is absent — there is no per-user baseline against which anomalous transaction amounts, times, or recipient patterns can be flagged.</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The consequence is high false negative rates (fraud passes undetected) and, where systems are overly conservative, high false positive rates (legitimate transactions are blocked), both of which damage user experience and business revenue.</w:t>
      </w:r>
    </w:p>
    <w:p>
      <w:pPr>
        <w:pStyle w:val="Heading2"/>
        <w:spacing w:after="120" w:before="240"/>
      </w:pPr>
      <w:r>
        <w:rPr>
          <w:rFonts w:ascii="Times New Roman" w:cs="Times New Roman" w:eastAsia="Times New Roman" w:hAnsi="Times New Roman"/>
          <w:b/>
          <w:bCs/>
          <w:sz w:val="26"/>
          <w:szCs w:val="26"/>
        </w:rPr>
        <w:t xml:space="preserve">1.3 Objectives</w:t>
      </w:r>
    </w:p>
    <w:p>
      <w:pPr>
        <w:spacing w:after="120" w:before="120"/>
      </w:pPr>
      <w:r>
        <w:rPr>
          <w:rFonts w:ascii="Times New Roman" w:cs="Times New Roman" w:eastAsia="Times New Roman" w:hAnsi="Times New Roman"/>
          <w:sz w:val="24"/>
          <w:szCs w:val="24"/>
        </w:rPr>
        <w:t xml:space="preserve">The primary objective of this project is to design, implement, and validate a production-grade fraud detection platform tailored to Nepal's digital payment ecosystem. Specific objectives are:</w:t>
      </w:r>
    </w:p>
    <w:p>
      <w:pPr>
        <w:pStyle w:val="ListParagraph"/>
        <w:numPr>
          <w:ilvl w:val="0"/>
          <w:numId w:val="3"/>
        </w:numPr>
        <w:spacing w:after="60" w:before="60"/>
      </w:pPr>
      <w:r>
        <w:rPr>
          <w:rFonts w:ascii="Times New Roman" w:cs="Times New Roman" w:eastAsia="Times New Roman" w:hAnsi="Times New Roman"/>
          <w:sz w:val="24"/>
          <w:szCs w:val="24"/>
        </w:rPr>
        <w:t xml:space="preserve">To implement a device identity layer using multi-signal fingerprinting with drift-tolerant fuzzy matching, enabling stable device identification across software updates and browser changes.</w:t>
      </w:r>
    </w:p>
    <w:p>
      <w:pPr>
        <w:pStyle w:val="ListParagraph"/>
        <w:numPr>
          <w:ilvl w:val="0"/>
          <w:numId w:val="3"/>
        </w:numPr>
        <w:spacing w:after="60" w:before="60"/>
      </w:pPr>
      <w:r>
        <w:rPr>
          <w:rFonts w:ascii="Times New Roman" w:cs="Times New Roman" w:eastAsia="Times New Roman" w:hAnsi="Times New Roman"/>
          <w:sz w:val="24"/>
          <w:szCs w:val="24"/>
        </w:rPr>
        <w:t xml:space="preserve">To design a composite risk scoring engine combining seven independent signal dimensions with empirically calibrated weights derived from Nepal-specific fraud pattern data.</w:t>
      </w:r>
    </w:p>
    <w:p>
      <w:pPr>
        <w:pStyle w:val="ListParagraph"/>
        <w:numPr>
          <w:ilvl w:val="0"/>
          <w:numId w:val="3"/>
        </w:numPr>
        <w:spacing w:after="60" w:before="60"/>
      </w:pPr>
      <w:r>
        <w:rPr>
          <w:rFonts w:ascii="Times New Roman" w:cs="Times New Roman" w:eastAsia="Times New Roman" w:hAnsi="Times New Roman"/>
          <w:sz w:val="24"/>
          <w:szCs w:val="24"/>
        </w:rPr>
        <w:t xml:space="preserve">To achieve a P95 API response latency of under 50ms at approximately 3,200 concurrent requests per second on commodity cloud infrastructure.</w:t>
      </w:r>
    </w:p>
    <w:p>
      <w:pPr>
        <w:pStyle w:val="ListParagraph"/>
        <w:numPr>
          <w:ilvl w:val="0"/>
          <w:numId w:val="3"/>
        </w:numPr>
        <w:spacing w:after="60" w:before="60"/>
      </w:pPr>
      <w:r>
        <w:rPr>
          <w:rFonts w:ascii="Times New Roman" w:cs="Times New Roman" w:eastAsia="Times New Roman" w:hAnsi="Times New Roman"/>
          <w:sz w:val="24"/>
          <w:szCs w:val="24"/>
        </w:rPr>
        <w:t xml:space="preserve">To implement SIM swap detection via phone-to-device binding with first-write-wins semantics, directly addressing the documented primary fraud vector in the Nepali market.</w:t>
      </w:r>
    </w:p>
    <w:p>
      <w:pPr>
        <w:pStyle w:val="ListParagraph"/>
        <w:numPr>
          <w:ilvl w:val="0"/>
          <w:numId w:val="3"/>
        </w:numPr>
        <w:spacing w:after="60" w:before="60"/>
      </w:pPr>
      <w:r>
        <w:rPr>
          <w:rFonts w:ascii="Times New Roman" w:cs="Times New Roman" w:eastAsia="Times New Roman" w:hAnsi="Times New Roman"/>
          <w:sz w:val="24"/>
          <w:szCs w:val="24"/>
        </w:rPr>
        <w:t xml:space="preserve">To build a complete async worker pipeline for behavioral profiling, device trust computation, and recipient risk aggregation, enabling the scoring engine to improve in predictive accuracy over time.</w:t>
      </w:r>
    </w:p>
    <w:p>
      <w:pPr>
        <w:pStyle w:val="ListParagraph"/>
        <w:numPr>
          <w:ilvl w:val="0"/>
          <w:numId w:val="3"/>
        </w:numPr>
        <w:spacing w:after="60" w:before="60"/>
      </w:pPr>
      <w:r>
        <w:rPr>
          <w:rFonts w:ascii="Times New Roman" w:cs="Times New Roman" w:eastAsia="Times New Roman" w:hAnsi="Times New Roman"/>
          <w:sz w:val="24"/>
          <w:szCs w:val="24"/>
        </w:rPr>
        <w:t xml:space="preserve">To validate the system with a 168-test automated test suite achieving 92% or higher pass rate.</w:t>
      </w:r>
    </w:p>
    <w:p>
      <w:pPr>
        <w:pStyle w:val="Heading2"/>
        <w:spacing w:after="120" w:before="240"/>
      </w:pPr>
      <w:r>
        <w:rPr>
          <w:rFonts w:ascii="Times New Roman" w:cs="Times New Roman" w:eastAsia="Times New Roman" w:hAnsi="Times New Roman"/>
          <w:b/>
          <w:bCs/>
          <w:sz w:val="26"/>
          <w:szCs w:val="26"/>
        </w:rPr>
        <w:t xml:space="preserve">1.4 Significance of the Study</w:t>
      </w:r>
    </w:p>
    <w:p>
      <w:pPr>
        <w:spacing w:after="120" w:before="120"/>
      </w:pPr>
      <w:r>
        <w:rPr>
          <w:rFonts w:ascii="Times New Roman" w:cs="Times New Roman" w:eastAsia="Times New Roman" w:hAnsi="Times New Roman"/>
          <w:sz w:val="24"/>
          <w:szCs w:val="24"/>
        </w:rPr>
        <w:t xml:space="preserve">Flint Secure addresses a gap that exists not only in Nepal but across developing market fintech ecosystems. Commercial fraud detection solutions such as Stripe Radar, Sift, and Sardine are priced for Western markets and are not viable for PSPs operating at Nepali revenue scales. Flint Secure is designed as financially accessible fintech infrastructure for emerging markets.</w:t>
      </w:r>
    </w:p>
    <w:p>
      <w:pPr>
        <w:spacing w:after="120" w:before="120"/>
      </w:pPr>
      <w:r>
        <w:rPr>
          <w:rFonts w:ascii="Times New Roman" w:cs="Times New Roman" w:eastAsia="Times New Roman" w:hAnsi="Times New Roman"/>
          <w:sz w:val="24"/>
          <w:szCs w:val="24"/>
        </w:rPr>
        <w:t xml:space="preserve">The project demonstrates that production-grade fraud detection — sub-50ms latency, multi-dimensional risk scoring, device intelligence, SIM swap detection — is achievable with open-source components (Go, Redis, NATS, PostgreSQL) on Oracle Cloud Free Tier ARM64 infrastructure, making it reproducible without significant capital expenditure.</w:t>
      </w:r>
    </w:p>
    <w:p>
      <w:pPr>
        <w:spacing w:after="120" w:before="120"/>
      </w:pPr>
      <w:r>
        <w:rPr>
          <w:rFonts w:ascii="Times New Roman" w:cs="Times New Roman" w:eastAsia="Times New Roman" w:hAnsi="Times New Roman"/>
          <w:sz w:val="24"/>
          <w:szCs w:val="24"/>
        </w:rPr>
        <w:t xml:space="preserve">The framing of Flint Secure as open-source fintech infrastructure contributes to the broader discourse on reducing technological dependency in emerging market financial systems, a theme aligned with Nepal's national digital financial inclusion agenda.</w:t>
      </w:r>
    </w:p>
    <w:p>
      <w:pPr>
        <w:pStyle w:val="Heading2"/>
        <w:spacing w:after="120" w:before="240"/>
      </w:pPr>
      <w:r>
        <w:rPr>
          <w:rFonts w:ascii="Times New Roman" w:cs="Times New Roman" w:eastAsia="Times New Roman" w:hAnsi="Times New Roman"/>
          <w:b/>
          <w:bCs/>
          <w:sz w:val="26"/>
          <w:szCs w:val="26"/>
        </w:rPr>
        <w:t xml:space="preserve">1.5 Scope and Limitations</w:t>
      </w:r>
    </w:p>
    <w:p>
      <w:pPr>
        <w:spacing w:after="120" w:before="120"/>
      </w:pPr>
      <w:r>
        <w:rPr>
          <w:rFonts w:ascii="Times New Roman" w:cs="Times New Roman" w:eastAsia="Times New Roman" w:hAnsi="Times New Roman"/>
          <w:sz w:val="24"/>
          <w:szCs w:val="24"/>
        </w:rPr>
        <w:t xml:space="preserve">The scope of this project encompasses:</w:t>
      </w:r>
    </w:p>
    <w:p>
      <w:pPr>
        <w:pStyle w:val="ListParagraph"/>
        <w:numPr>
          <w:ilvl w:val="0"/>
          <w:numId w:val="2"/>
        </w:numPr>
        <w:spacing w:after="60" w:before="60"/>
      </w:pPr>
      <w:r>
        <w:rPr>
          <w:rFonts w:ascii="Times New Roman" w:cs="Times New Roman" w:eastAsia="Times New Roman" w:hAnsi="Times New Roman"/>
          <w:sz w:val="24"/>
          <w:szCs w:val="24"/>
        </w:rPr>
        <w:t xml:space="preserve">Full backend API implementation in Go with two endpoints: /v1/identify and /v1/score</w:t>
      </w:r>
    </w:p>
    <w:p>
      <w:pPr>
        <w:pStyle w:val="ListParagraph"/>
        <w:numPr>
          <w:ilvl w:val="0"/>
          <w:numId w:val="2"/>
        </w:numPr>
        <w:spacing w:after="60" w:before="60"/>
      </w:pPr>
      <w:r>
        <w:rPr>
          <w:rFonts w:ascii="Times New Roman" w:cs="Times New Roman" w:eastAsia="Times New Roman" w:hAnsi="Times New Roman"/>
          <w:sz w:val="24"/>
          <w:szCs w:val="24"/>
        </w:rPr>
        <w:t xml:space="preserve">Device fingerprinting SDKs for Android, iOS, and JavaScript</w:t>
      </w:r>
    </w:p>
    <w:p>
      <w:pPr>
        <w:pStyle w:val="ListParagraph"/>
        <w:numPr>
          <w:ilvl w:val="0"/>
          <w:numId w:val="2"/>
        </w:numPr>
        <w:spacing w:after="60" w:before="60"/>
      </w:pPr>
      <w:r>
        <w:rPr>
          <w:rFonts w:ascii="Times New Roman" w:cs="Times New Roman" w:eastAsia="Times New Roman" w:hAnsi="Times New Roman"/>
          <w:sz w:val="24"/>
          <w:szCs w:val="24"/>
        </w:rPr>
        <w:t xml:space="preserve">Redis-backed device store, velocity counter, and user profile system</w:t>
      </w:r>
    </w:p>
    <w:p>
      <w:pPr>
        <w:pStyle w:val="ListParagraph"/>
        <w:numPr>
          <w:ilvl w:val="0"/>
          <w:numId w:val="2"/>
        </w:numPr>
        <w:spacing w:after="60" w:before="60"/>
      </w:pPr>
      <w:r>
        <w:rPr>
          <w:rFonts w:ascii="Times New Roman" w:cs="Times New Roman" w:eastAsia="Times New Roman" w:hAnsi="Times New Roman"/>
          <w:sz w:val="24"/>
          <w:szCs w:val="24"/>
        </w:rPr>
        <w:t xml:space="preserve">NATS JetStream async event pipeline with Python consumer workers</w:t>
      </w:r>
    </w:p>
    <w:p>
      <w:pPr>
        <w:pStyle w:val="ListParagraph"/>
        <w:numPr>
          <w:ilvl w:val="0"/>
          <w:numId w:val="2"/>
        </w:numPr>
        <w:spacing w:after="60" w:before="60"/>
      </w:pPr>
      <w:r>
        <w:rPr>
          <w:rFonts w:ascii="Times New Roman" w:cs="Times New Roman" w:eastAsia="Times New Roman" w:hAnsi="Times New Roman"/>
          <w:sz w:val="24"/>
          <w:szCs w:val="24"/>
        </w:rPr>
        <w:t xml:space="preserve">PostgreSQL schema for transaction history, alerts, and client management</w:t>
      </w:r>
    </w:p>
    <w:p>
      <w:pPr>
        <w:pStyle w:val="ListParagraph"/>
        <w:numPr>
          <w:ilvl w:val="0"/>
          <w:numId w:val="2"/>
        </w:numPr>
        <w:spacing w:after="60" w:before="60"/>
      </w:pPr>
      <w:r>
        <w:rPr>
          <w:rFonts w:ascii="Times New Roman" w:cs="Times New Roman" w:eastAsia="Times New Roman" w:hAnsi="Times New Roman"/>
          <w:sz w:val="24"/>
          <w:szCs w:val="24"/>
        </w:rPr>
        <w:t xml:space="preserve">A 168-test automated test suite</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Current limitations include:</w:t>
      </w:r>
    </w:p>
    <w:p>
      <w:pPr>
        <w:pStyle w:val="ListParagraph"/>
        <w:numPr>
          <w:ilvl w:val="0"/>
          <w:numId w:val="2"/>
        </w:numPr>
        <w:spacing w:after="60" w:before="60"/>
      </w:pPr>
      <w:r>
        <w:rPr>
          <w:rFonts w:ascii="Times New Roman" w:cs="Times New Roman" w:eastAsia="Times New Roman" w:hAnsi="Times New Roman"/>
          <w:sz w:val="24"/>
          <w:szCs w:val="24"/>
        </w:rPr>
        <w:t xml:space="preserve">Machine learning models are not yet integrated — the scoring engine uses deterministic weighted rules. An ML layer is identified as future work.</w:t>
      </w:r>
    </w:p>
    <w:p>
      <w:pPr>
        <w:pStyle w:val="ListParagraph"/>
        <w:numPr>
          <w:ilvl w:val="0"/>
          <w:numId w:val="2"/>
        </w:numPr>
        <w:spacing w:after="60" w:before="60"/>
      </w:pPr>
      <w:r>
        <w:rPr>
          <w:rFonts w:ascii="Times New Roman" w:cs="Times New Roman" w:eastAsia="Times New Roman" w:hAnsi="Times New Roman"/>
          <w:sz w:val="24"/>
          <w:szCs w:val="24"/>
        </w:rPr>
        <w:t xml:space="preserve">The recipient risk system depends on accumulated fraud report data — it is weakest in early deployment before sufficient data volume is reached.</w:t>
      </w:r>
    </w:p>
    <w:p>
      <w:pPr>
        <w:pStyle w:val="ListParagraph"/>
        <w:numPr>
          <w:ilvl w:val="0"/>
          <w:numId w:val="2"/>
        </w:numPr>
        <w:spacing w:after="60" w:before="60"/>
      </w:pPr>
      <w:r>
        <w:rPr>
          <w:rFonts w:ascii="Times New Roman" w:cs="Times New Roman" w:eastAsia="Times New Roman" w:hAnsi="Times New Roman"/>
          <w:sz w:val="24"/>
          <w:szCs w:val="24"/>
        </w:rPr>
        <w:t xml:space="preserve">The GeoIP database (MaxMind GeoLite2) provides city-level accuracy but is not always precise for ISP identification within Nepal.</w:t>
      </w:r>
    </w:p>
    <w:p>
      <w:pPr>
        <w:pStyle w:val="ListParagraph"/>
        <w:numPr>
          <w:ilvl w:val="0"/>
          <w:numId w:val="2"/>
        </w:numPr>
        <w:spacing w:after="60" w:before="60"/>
      </w:pPr>
      <w:r>
        <w:rPr>
          <w:rFonts w:ascii="Times New Roman" w:cs="Times New Roman" w:eastAsia="Times New Roman" w:hAnsi="Times New Roman"/>
          <w:sz w:val="24"/>
          <w:szCs w:val="24"/>
        </w:rPr>
        <w:t xml:space="preserve">Real-time regulatory data feeds from FIU-Nepal are not yet available via API; the system currently relies on manually updated blocklists.</w:t>
      </w:r>
    </w:p>
    <w:p>
      <w:r>
        <w:br w:type="page"/>
      </w:r>
    </w:p>
    <w:p>
      <w:pPr>
        <w:pStyle w:val="Heading1"/>
        <w:spacing w:after="180" w:before="360"/>
      </w:pPr>
      <w:r>
        <w:rPr>
          <w:rFonts w:ascii="Times New Roman" w:cs="Times New Roman" w:eastAsia="Times New Roman" w:hAnsi="Times New Roman"/>
          <w:b/>
          <w:bCs/>
          <w:sz w:val="28"/>
          <w:szCs w:val="28"/>
        </w:rPr>
        <w:t xml:space="preserve">2. Literature Review</w:t>
      </w:r>
    </w:p>
    <w:p>
      <w:pPr>
        <w:pStyle w:val="Heading2"/>
        <w:spacing w:after="120" w:before="240"/>
      </w:pPr>
      <w:r>
        <w:rPr>
          <w:rFonts w:ascii="Times New Roman" w:cs="Times New Roman" w:eastAsia="Times New Roman" w:hAnsi="Times New Roman"/>
          <w:b/>
          <w:bCs/>
          <w:sz w:val="26"/>
          <w:szCs w:val="26"/>
        </w:rPr>
        <w:t xml:space="preserve">2.1 Device Fingerprinting</w:t>
      </w:r>
    </w:p>
    <w:p>
      <w:pPr>
        <w:spacing w:after="120" w:before="120"/>
      </w:pPr>
      <w:r>
        <w:rPr>
          <w:rFonts w:ascii="Times New Roman" w:cs="Times New Roman" w:eastAsia="Times New Roman" w:hAnsi="Times New Roman"/>
          <w:sz w:val="24"/>
          <w:szCs w:val="24"/>
        </w:rPr>
        <w:t xml:space="preserve">Eckersley (2010) in 'How Unique Is Your Web Browser?' established the foundational empirical basis for browser fingerprinting, demonstrating that 83.6% of browsers in a sample of 470,000 had unique fingerprints based on passive signal collection. The EFF's Panopticlick project extended this work to show that even partial fingerprints exhibit high uniqueness. Laperdrix et al. (2016) in 'Beauty and the Beast: Diverting modern web browsers to build unique browser fingerprints' demonstrated the stability of canvas rendering differences across GPU hardware, directly informing Flint Secure's use of canvas hash as a Tier 1 fingerprinting signal.</w:t>
      </w:r>
    </w:p>
    <w:p>
      <w:pPr>
        <w:spacing w:after="120" w:before="120"/>
      </w:pPr>
      <w:r>
        <w:rPr>
          <w:rFonts w:ascii="Times New Roman" w:cs="Times New Roman" w:eastAsia="Times New Roman" w:hAnsi="Times New Roman"/>
          <w:sz w:val="24"/>
          <w:szCs w:val="24"/>
        </w:rPr>
        <w:t xml:space="preserve">The challenge of fingerprint drift — where legitimate device updates cause fingerprint changes that break identity continuity — is addressed in Vastel et al. (2018) in 'FP-STALKER: Tracking Browser Fingerprint Evolutions.' Their work on tracking fingerprint evolution over time informed the design of Flint Secure's three-layer cascade: exact hash match, stored ID recovery, and fuzzy signal matching with evolution-aware penalty terms.</w:t>
      </w:r>
    </w:p>
    <w:p>
      <w:pPr>
        <w:pStyle w:val="Heading2"/>
        <w:spacing w:after="120" w:before="240"/>
      </w:pPr>
      <w:r>
        <w:rPr>
          <w:rFonts w:ascii="Times New Roman" w:cs="Times New Roman" w:eastAsia="Times New Roman" w:hAnsi="Times New Roman"/>
          <w:b/>
          <w:bCs/>
          <w:sz w:val="26"/>
          <w:szCs w:val="26"/>
        </w:rPr>
        <w:t xml:space="preserve">2.2 Real-Time Fraud Detection</w:t>
      </w:r>
    </w:p>
    <w:p>
      <w:pPr>
        <w:spacing w:after="120" w:before="120"/>
      </w:pPr>
      <w:r>
        <w:rPr>
          <w:rFonts w:ascii="Times New Roman" w:cs="Times New Roman" w:eastAsia="Times New Roman" w:hAnsi="Times New Roman"/>
          <w:sz w:val="24"/>
          <w:szCs w:val="24"/>
        </w:rPr>
        <w:t xml:space="preserve">West and Bhattacharya (2016) survey machine learning approaches to financial fraud detection, establishing that ensemble methods consistently outperform single-model approaches. Fiore et al. (2019) demonstrate the application of generative adversarial networks (GANs) for synthetic fraud data augmentation in class-imbalanced datasets — a challenge that affects any fraud detection system in early deployment when fraud instances are rare relative to legitimate transactions.</w:t>
      </w:r>
    </w:p>
    <w:p>
      <w:pPr>
        <w:spacing w:after="120" w:before="120"/>
      </w:pPr>
      <w:r>
        <w:rPr>
          <w:rFonts w:ascii="Times New Roman" w:cs="Times New Roman" w:eastAsia="Times New Roman" w:hAnsi="Times New Roman"/>
          <w:sz w:val="24"/>
          <w:szCs w:val="24"/>
        </w:rPr>
        <w:t xml:space="preserve">Dal Pozzolo et al. (2015) in 'Calibrating Probability with Undersampling for Unbalanced Classification' provide the statistical framework for threshold calibration in fraud scoring, directly relevant to Flint Secure's ALLOW/FLAG/BLOCK threshold design and the calibration of weights across the seven risk components.</w:t>
      </w:r>
    </w:p>
    <w:p>
      <w:pPr>
        <w:pStyle w:val="Heading2"/>
        <w:spacing w:after="120" w:before="240"/>
      </w:pPr>
      <w:r>
        <w:rPr>
          <w:rFonts w:ascii="Times New Roman" w:cs="Times New Roman" w:eastAsia="Times New Roman" w:hAnsi="Times New Roman"/>
          <w:b/>
          <w:bCs/>
          <w:sz w:val="26"/>
          <w:szCs w:val="26"/>
        </w:rPr>
        <w:t xml:space="preserve">2.3 Velocity-Based Fraud Detection</w:t>
      </w:r>
    </w:p>
    <w:p>
      <w:pPr>
        <w:spacing w:after="120" w:before="120"/>
      </w:pPr>
      <w:r>
        <w:rPr>
          <w:rFonts w:ascii="Times New Roman" w:cs="Times New Roman" w:eastAsia="Times New Roman" w:hAnsi="Times New Roman"/>
          <w:sz w:val="24"/>
          <w:szCs w:val="24"/>
        </w:rPr>
        <w:t xml:space="preserve">Bolton and Hand (2002) in 'Statistical Fraud Detection: A Review' establish velocity features — transaction frequency, amount variance, recipient diversity — as among the most predictive features for real-time fraud detection. Their time-window analysis methodology directly informs Flint Secure's sliding-window velocity counters implemented using Redis sorted sets, which compute distinct IP counts, account counts, and transaction rates across multiple time windows (5 minutes, 1 hour, 24 hours) in a single pipelined Redis round-trip.</w:t>
      </w:r>
    </w:p>
    <w:p>
      <w:pPr>
        <w:pStyle w:val="Heading2"/>
        <w:spacing w:after="120" w:before="240"/>
      </w:pPr>
      <w:r>
        <w:rPr>
          <w:rFonts w:ascii="Times New Roman" w:cs="Times New Roman" w:eastAsia="Times New Roman" w:hAnsi="Times New Roman"/>
          <w:b/>
          <w:bCs/>
          <w:sz w:val="26"/>
          <w:szCs w:val="26"/>
        </w:rPr>
        <w:t xml:space="preserve">2.4 SIM Swap Fraud</w:t>
      </w:r>
    </w:p>
    <w:p>
      <w:pPr>
        <w:spacing w:after="120" w:before="120"/>
      </w:pPr>
      <w:r>
        <w:rPr>
          <w:rFonts w:ascii="Times New Roman" w:cs="Times New Roman" w:eastAsia="Times New Roman" w:hAnsi="Times New Roman"/>
          <w:sz w:val="24"/>
          <w:szCs w:val="24"/>
        </w:rPr>
        <w:t xml:space="preserve">Mjaaland et al. (2021) document SIM swap as a critical emerging fraud vector in mobile banking, particularly in markets with weaker telecom identity verification. Their study of SIM swap attacks in European markets establishes that phone number portability combined with weak carrier authentication creates a reliable attack path for account takeover. FIU-Nepal's 2024 Annual Report independently confirms this pattern for the Nepali market, reporting a 70% year-on-year increase in SIM swap fraud cases.</w:t>
      </w:r>
    </w:p>
    <w:p>
      <w:pPr>
        <w:pStyle w:val="Heading2"/>
        <w:spacing w:after="120" w:before="240"/>
      </w:pPr>
      <w:r>
        <w:rPr>
          <w:rFonts w:ascii="Times New Roman" w:cs="Times New Roman" w:eastAsia="Times New Roman" w:hAnsi="Times New Roman"/>
          <w:b/>
          <w:bCs/>
          <w:sz w:val="26"/>
          <w:szCs w:val="26"/>
        </w:rPr>
        <w:t xml:space="preserve">2.5 Related Systems</w:t>
      </w:r>
    </w:p>
    <w:p>
      <w:pPr>
        <w:spacing w:after="120" w:before="120"/>
      </w:pPr>
      <w:r>
        <w:rPr>
          <w:rFonts w:ascii="Times New Roman" w:cs="Times New Roman" w:eastAsia="Times New Roman" w:hAnsi="Times New Roman"/>
          <w:sz w:val="24"/>
          <w:szCs w:val="24"/>
        </w:rPr>
        <w:t xml:space="preserve">Commercial fraud detection platforms provide the competitive context for Flint Secure. Stripe Radar uses machine learning models trained on hundreds of billions of transactions to generate risk scores. Sift employs a real-time event-based architecture where every user action (login, checkout, payment) feeds a dynamic risk model. Sardine specifically targets fintech onboarding and transaction fraud with device fingerprinting as a primary signal.</w:t>
      </w:r>
    </w:p>
    <w:p>
      <w:pPr>
        <w:spacing w:after="120" w:before="120"/>
      </w:pPr>
      <w:r>
        <w:rPr>
          <w:rFonts w:ascii="Times New Roman" w:cs="Times New Roman" w:eastAsia="Times New Roman" w:hAnsi="Times New Roman"/>
          <w:sz w:val="24"/>
          <w:szCs w:val="24"/>
        </w:rPr>
        <w:t xml:space="preserve">The key differentiator for Flint Secure relative to these systems is geographic and economic specificity. These platforms are priced for Western markets (Sift charges $0.02–$0.05 per scored event at enterprise scale) and do not have Nepal-specific calibration. Flint Secure's weight calibration — particularly the elevated weight on identity risk (×16) reflecting the documented SIM swap prevalence — represents Nepal-specific tuning that generic platforms cannot provide.</w:t>
      </w:r>
    </w:p>
    <w:p>
      <w:r>
        <w:br w:type="page"/>
      </w:r>
    </w:p>
    <w:p>
      <w:pPr>
        <w:pStyle w:val="Heading1"/>
        <w:spacing w:after="180" w:before="360"/>
      </w:pPr>
      <w:r>
        <w:rPr>
          <w:rFonts w:ascii="Times New Roman" w:cs="Times New Roman" w:eastAsia="Times New Roman" w:hAnsi="Times New Roman"/>
          <w:b/>
          <w:bCs/>
          <w:sz w:val="28"/>
          <w:szCs w:val="28"/>
        </w:rPr>
        <w:t xml:space="preserve">3. Methodology</w:t>
      </w:r>
    </w:p>
    <w:p>
      <w:pPr>
        <w:pStyle w:val="Heading2"/>
        <w:spacing w:after="120" w:before="240"/>
      </w:pPr>
      <w:r>
        <w:rPr>
          <w:rFonts w:ascii="Times New Roman" w:cs="Times New Roman" w:eastAsia="Times New Roman" w:hAnsi="Times New Roman"/>
          <w:b/>
          <w:bCs/>
          <w:sz w:val="26"/>
          <w:szCs w:val="26"/>
        </w:rPr>
        <w:t xml:space="preserve">3.1 System Architecture</w:t>
      </w:r>
    </w:p>
    <w:p>
      <w:pPr>
        <w:spacing w:after="120" w:before="120"/>
      </w:pPr>
      <w:r>
        <w:rPr>
          <w:rFonts w:ascii="Times New Roman" w:cs="Times New Roman" w:eastAsia="Times New Roman" w:hAnsi="Times New Roman"/>
          <w:sz w:val="24"/>
          <w:szCs w:val="24"/>
        </w:rPr>
        <w:t xml:space="preserve">Flint Secure follows a layered architecture with strict separation between the request-serving layer, the business logic layer, and the storage layer. This separation is motivated by the primary technical constraint: all score API calls must complete within 200ms P95 latency.</w:t>
      </w:r>
    </w:p>
    <w:p>
      <w:pPr>
        <w:pStyle w:val="Heading3"/>
        <w:spacing w:after="80" w:before="180"/>
      </w:pPr>
      <w:r>
        <w:rPr>
          <w:rFonts w:ascii="Times New Roman" w:cs="Times New Roman" w:eastAsia="Times New Roman" w:hAnsi="Times New Roman"/>
          <w:b/>
          <w:bCs/>
          <w:i/>
          <w:iCs/>
          <w:sz w:val="24"/>
          <w:szCs w:val="24"/>
        </w:rPr>
        <w:t xml:space="preserve">3.1.1 Request Flow</w:t>
      </w:r>
    </w:p>
    <w:p>
      <w:pPr>
        <w:spacing w:after="120" w:before="120"/>
      </w:pPr>
      <w:r>
        <w:rPr>
          <w:rFonts w:ascii="Times New Roman" w:cs="Times New Roman" w:eastAsia="Times New Roman" w:hAnsi="Times New Roman"/>
          <w:sz w:val="24"/>
          <w:szCs w:val="24"/>
        </w:rPr>
        <w:t xml:space="preserve">Each incoming request traverses a fixed middleware chain before reaching a handler. The chain consists of: request ID assignment, real IP extraction, CORS handling, GeoIP enrichment (MaxMind GeoLite2 MMDB, in-memory lookup), API key authentication (Redis cache → PostgreSQL → static env-var fallback), rate limiting (Redis INCR fixed-window counter, three tiers: per-IP, per-key, per-device), and optional HMAC-SHA256 request signature validation with Redis-based replay prevention.</w:t>
      </w:r>
    </w:p>
    <w:p>
      <w:pPr>
        <w:spacing w:after="120" w:before="120"/>
      </w:pPr>
      <w:r>
        <w:rPr>
          <w:rFonts w:ascii="Times New Roman" w:cs="Times New Roman" w:eastAsia="Times New Roman" w:hAnsi="Times New Roman"/>
          <w:sz w:val="24"/>
          <w:szCs w:val="24"/>
        </w:rPr>
        <w:t xml:space="preserve">The score handler then performs the following operations in sequence: device lookup via two-key Redis GET, user profile retrieval via Redis HGETALL, velocity signal reads via pipelined Redis ZCOUNT, identity signal computation (phone hash comparison, SIM swap detection), quota check (Redis INCR on monthly counter), and finally the scoring engine invocation. The scoring engine is a pure function — no I/O — that combines all pre-fetched signals into a 0–100 risk score. The response is written immediately after scoring. Async goroutines publish events to NATS and record velocity signals after the response is sent.</w:t>
      </w:r>
    </w:p>
    <w:p>
      <w:pPr>
        <w:pStyle w:val="Heading3"/>
        <w:spacing w:after="80" w:before="180"/>
      </w:pPr>
      <w:r>
        <w:rPr>
          <w:rFonts w:ascii="Times New Roman" w:cs="Times New Roman" w:eastAsia="Times New Roman" w:hAnsi="Times New Roman"/>
          <w:b/>
          <w:bCs/>
          <w:i/>
          <w:iCs/>
          <w:sz w:val="24"/>
          <w:szCs w:val="24"/>
        </w:rPr>
        <w:t xml:space="preserve">3.1.2 Storage Architecture</w:t>
      </w:r>
    </w:p>
    <w:p>
      <w:pPr>
        <w:spacing w:after="120" w:before="120"/>
      </w:pPr>
      <w:r>
        <w:rPr>
          <w:rFonts w:ascii="Times New Roman" w:cs="Times New Roman" w:eastAsia="Times New Roman" w:hAnsi="Times New Roman"/>
          <w:sz w:val="24"/>
          <w:szCs w:val="24"/>
        </w:rPr>
        <w:t xml:space="preserve">The system uses three storage systems with distinct roles:</w:t>
      </w:r>
    </w:p>
    <w:p>
      <w:pPr>
        <w:pStyle w:val="ListParagraph"/>
        <w:numPr>
          <w:ilvl w:val="0"/>
          <w:numId w:val="2"/>
        </w:numPr>
        <w:spacing w:after="60" w:before="60"/>
      </w:pPr>
      <w:r>
        <w:rPr>
          <w:rFonts w:ascii="Times New Roman" w:cs="Times New Roman" w:eastAsia="Times New Roman" w:hAnsi="Times New Roman"/>
          <w:sz w:val="24"/>
          <w:szCs w:val="24"/>
        </w:rPr>
        <w:t xml:space="preserve">Redis Persist (port 6379): Devices, user profiles, phone-device bindings, monthly quota counters. Persistence enabled (AOF). 90-day device TTL.</w:t>
      </w:r>
    </w:p>
    <w:p>
      <w:pPr>
        <w:pStyle w:val="ListParagraph"/>
        <w:numPr>
          <w:ilvl w:val="0"/>
          <w:numId w:val="2"/>
        </w:numPr>
        <w:spacing w:after="60" w:before="60"/>
      </w:pPr>
      <w:r>
        <w:rPr>
          <w:rFonts w:ascii="Times New Roman" w:cs="Times New Roman" w:eastAsia="Times New Roman" w:hAnsi="Times New Roman"/>
          <w:sz w:val="24"/>
          <w:szCs w:val="24"/>
        </w:rPr>
        <w:t xml:space="preserve">Redis Cache (port 6380): Velocity sorted sets (25-hour TTL), rate limit counters (2-minute TTL), API key cache (5-minute TTL). Persistence disabled for maximum throughput.</w:t>
      </w:r>
    </w:p>
    <w:p>
      <w:pPr>
        <w:pStyle w:val="ListParagraph"/>
        <w:numPr>
          <w:ilvl w:val="0"/>
          <w:numId w:val="2"/>
        </w:numPr>
        <w:spacing w:after="60" w:before="60"/>
      </w:pPr>
      <w:r>
        <w:rPr>
          <w:rFonts w:ascii="Times New Roman" w:cs="Times New Roman" w:eastAsia="Times New Roman" w:hAnsi="Times New Roman"/>
          <w:sz w:val="24"/>
          <w:szCs w:val="24"/>
        </w:rPr>
        <w:t xml:space="preserve">PostgreSQL: Transaction history, device registry, alerts, client management, API key source of truth. Not in the hot path — all writes are async via NATS workers.</w:t>
      </w:r>
    </w:p>
    <w:p>
      <w:pPr>
        <w:pStyle w:val="ListParagraph"/>
        <w:numPr>
          <w:ilvl w:val="0"/>
          <w:numId w:val="2"/>
        </w:numPr>
        <w:spacing w:after="60" w:before="60"/>
      </w:pPr>
      <w:r>
        <w:rPr>
          <w:rFonts w:ascii="Times New Roman" w:cs="Times New Roman" w:eastAsia="Times New Roman" w:hAnsi="Times New Roman"/>
          <w:sz w:val="24"/>
          <w:szCs w:val="24"/>
        </w:rPr>
        <w:t xml:space="preserve">NATS JetStream: Event bus between Go API and Python worker pipeline. Subjects: transactions.scored, device.first_seen.</w:t>
      </w:r>
    </w:p>
    <w:p>
      <w:pPr>
        <w:pStyle w:val="Heading2"/>
        <w:spacing w:after="120" w:before="240"/>
      </w:pPr>
      <w:r>
        <w:rPr>
          <w:rFonts w:ascii="Times New Roman" w:cs="Times New Roman" w:eastAsia="Times New Roman" w:hAnsi="Times New Roman"/>
          <w:b/>
          <w:bCs/>
          <w:sz w:val="26"/>
          <w:szCs w:val="26"/>
        </w:rPr>
        <w:t xml:space="preserve">3.2 Device Identification</w:t>
      </w:r>
    </w:p>
    <w:p>
      <w:pPr>
        <w:spacing w:after="120" w:before="120"/>
      </w:pPr>
      <w:r>
        <w:rPr>
          <w:rFonts w:ascii="Times New Roman" w:cs="Times New Roman" w:eastAsia="Times New Roman" w:hAnsi="Times New Roman"/>
          <w:sz w:val="24"/>
          <w:szCs w:val="24"/>
        </w:rPr>
        <w:t xml:space="preserve">The /v1/identify endpoint implements a three-layer device matching cascade, stopping at the first successful match:</w:t>
      </w:r>
    </w:p>
    <w:p>
      <w:pPr>
        <w:pStyle w:val="Heading3"/>
        <w:spacing w:after="80" w:before="180"/>
      </w:pPr>
      <w:r>
        <w:rPr>
          <w:rFonts w:ascii="Times New Roman" w:cs="Times New Roman" w:eastAsia="Times New Roman" w:hAnsi="Times New Roman"/>
          <w:b/>
          <w:bCs/>
          <w:i/>
          <w:iCs/>
          <w:sz w:val="24"/>
          <w:szCs w:val="24"/>
        </w:rPr>
        <w:t xml:space="preserve">3.2.1 Layer 1 — Exact Hash Match</w:t>
      </w:r>
    </w:p>
    <w:p>
      <w:pPr>
        <w:spacing w:after="120" w:before="120"/>
      </w:pPr>
      <w:r>
        <w:rPr>
          <w:rFonts w:ascii="Times New Roman" w:cs="Times New Roman" w:eastAsia="Times New Roman" w:hAnsi="Times New Roman"/>
          <w:sz w:val="24"/>
          <w:szCs w:val="24"/>
        </w:rPr>
        <w:t xml:space="preserve">The SDK collects device signals and computes a local fingerprint (SHA-256 of the signal bundle). This hash is sent as local_fp. The handler performs a single Redis GET on device:{clientID}:{localFP}. On hit, confidence is 0.95 and the response is returned immediately. This layer handles approximately 85% of all identify calls.</w:t>
      </w:r>
    </w:p>
    <w:p>
      <w:pPr>
        <w:pStyle w:val="Heading3"/>
        <w:spacing w:after="80" w:before="180"/>
      </w:pPr>
      <w:r>
        <w:rPr>
          <w:rFonts w:ascii="Times New Roman" w:cs="Times New Roman" w:eastAsia="Times New Roman" w:hAnsi="Times New Roman"/>
          <w:b/>
          <w:bCs/>
          <w:i/>
          <w:iCs/>
          <w:sz w:val="24"/>
          <w:szCs w:val="24"/>
        </w:rPr>
        <w:t xml:space="preserve">3.2.2 Layer 2 — Stored ID Recovery</w:t>
      </w:r>
    </w:p>
    <w:p>
      <w:pPr>
        <w:spacing w:after="120" w:before="120"/>
      </w:pPr>
      <w:r>
        <w:rPr>
          <w:rFonts w:ascii="Times New Roman" w:cs="Times New Roman" w:eastAsia="Times New Roman" w:hAnsi="Times New Roman"/>
          <w:sz w:val="24"/>
          <w:szCs w:val="24"/>
        </w:rPr>
        <w:t xml:space="preserve">On Layer 1 miss, if the request includes a stored_device_id (the device ID previously issued and stored by the SDK in device local storage), a Redis GET on devid:{clientID}:{deviceID} is attempted. On hit, the stored device record is updated with the new local_fp fingerprint and re-indexed, restoring continuity despite the fingerprint change. Confidence is 0.90. This layer handles software update scenarios where the fingerprint changes but the app remembers its issued ID.</w:t>
      </w:r>
    </w:p>
    <w:p>
      <w:pPr>
        <w:pStyle w:val="Heading3"/>
        <w:spacing w:after="80" w:before="180"/>
      </w:pPr>
      <w:r>
        <w:rPr>
          <w:rFonts w:ascii="Times New Roman" w:cs="Times New Roman" w:eastAsia="Times New Roman" w:hAnsi="Times New Roman"/>
          <w:b/>
          <w:bCs/>
          <w:i/>
          <w:iCs/>
          <w:sz w:val="24"/>
          <w:szCs w:val="24"/>
        </w:rPr>
        <w:t xml:space="preserve">3.2.3 Layer 3 — Fuzzy Signal Matching</w:t>
      </w:r>
    </w:p>
    <w:p>
      <w:pPr>
        <w:spacing w:after="120" w:before="120"/>
      </w:pPr>
      <w:r>
        <w:rPr>
          <w:rFonts w:ascii="Times New Roman" w:cs="Times New Roman" w:eastAsia="Times New Roman" w:hAnsi="Times New Roman"/>
          <w:sz w:val="24"/>
          <w:szCs w:val="24"/>
        </w:rPr>
        <w:t xml:space="preserve">On Layers 1 and 2 miss, the handler retrieves candidate device fingerprints from the block key index — a Redis Set keyed by {clientID}:{screen_width}:{screen_height}:{os_family} — which pre-filters candidates to the same device class. For each candidate, ComputeSimilarity() computes a weighted signal similarity score across 14 signals organized in four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26"/>
        <w:gridCol w:w="2800"/>
      </w:tblGrid>
      <w:t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Tier</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Weight</w:t>
            </w:r>
          </w:p>
        </w:tc>
        <w:tc>
          <w:tcPr>
            <w:tcW w:type="dxa" w:w="36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Signals</w:t>
            </w:r>
          </w:p>
        </w:tc>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Rationale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0.85–1.0</w:t>
            </w:r>
          </w:p>
        </w:tc>
        <w:tc>
          <w:tcPr>
            <w:tcW w:type="dxa" w:w="3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gpu_renderer, canvas_hash, audio_fp</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Hardware-derived; requires physical GPU change to spoof</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0.65–0.80</w:t>
            </w:r>
          </w:p>
        </w:tc>
        <w:tc>
          <w:tcPr>
            <w:tcW w:type="dxa" w:w="3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webgl_hash, fonts, screen_width</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Moderately stable; changes only on major OS updates</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0.45–0.55</w:t>
            </w:r>
          </w:p>
        </w:tc>
        <w:tc>
          <w:tcPr>
            <w:tcW w:type="dxa" w:w="3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platform, timezone, ja3_hash, languages</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Useful but spoofable without hardware change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0.20–0.40</w:t>
            </w:r>
          </w:p>
        </w:tc>
        <w:tc>
          <w:tcPr>
            <w:tcW w:type="dxa" w:w="3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user_agent, cpu_cores, memory, color_depth</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Changes frequently; low individual signal value</w:t>
            </w:r>
          </w:p>
        </w:tc>
      </w:tr>
    </w:tbl>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The similarity formula divides weighted score by total weight of signals present in both devices, preventing penalization for absent signals. A Chrome version evolution penalty (up to -0.30 for version regression, -0.25 for &gt;10 version jump) is applied. Candidates scoring above a configurable threshold (default 0.70) are accepted as matches.</w:t>
      </w:r>
    </w:p>
    <w:p>
      <w:pPr>
        <w:pStyle w:val="Heading2"/>
        <w:spacing w:after="120" w:before="240"/>
      </w:pPr>
      <w:r>
        <w:rPr>
          <w:rFonts w:ascii="Times New Roman" w:cs="Times New Roman" w:eastAsia="Times New Roman" w:hAnsi="Times New Roman"/>
          <w:b/>
          <w:bCs/>
          <w:sz w:val="26"/>
          <w:szCs w:val="26"/>
        </w:rPr>
        <w:t xml:space="preserve">3.3 Risk Scoring Engine</w:t>
      </w:r>
    </w:p>
    <w:p>
      <w:pPr>
        <w:spacing w:after="120" w:before="120"/>
      </w:pPr>
      <w:r>
        <w:rPr>
          <w:rFonts w:ascii="Times New Roman" w:cs="Times New Roman" w:eastAsia="Times New Roman" w:hAnsi="Times New Roman"/>
          <w:sz w:val="24"/>
          <w:szCs w:val="24"/>
        </w:rPr>
        <w:t xml:space="preserve">The scoring engine (scoring.Score()) is a pure function. All data required for scoring is fetched by the handler before calling Score(). The engine computes seven independent risk components, applies interaction terms, and produces a final integer score from 0–100.</w:t>
      </w:r>
    </w:p>
    <w:p>
      <w:pPr>
        <w:pStyle w:val="Heading3"/>
        <w:spacing w:after="80" w:before="180"/>
      </w:pPr>
      <w:r>
        <w:rPr>
          <w:rFonts w:ascii="Times New Roman" w:cs="Times New Roman" w:eastAsia="Times New Roman" w:hAnsi="Times New Roman"/>
          <w:b/>
          <w:bCs/>
          <w:i/>
          <w:iCs/>
          <w:sz w:val="24"/>
          <w:szCs w:val="24"/>
        </w:rPr>
        <w:t xml:space="preserve">3.3.1 Component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Weight</w:t>
            </w:r>
          </w:p>
        </w:tc>
        <w:tc>
          <w:tcPr>
            <w:tcW w:type="dxa" w:w="58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Rationale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Network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TOR exit nodes are near-certain fraud. Highest weight in system.</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Amount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Large amounts equal large financial losses; primary business risk.</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Identity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SIM swap is primary fraud vector in Nepal (FIU-Nepal 2024).</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New, emulated, or flagged devices are strong fraud signals.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Velocity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Burst transaction patterns detect automated fraud and mule operations.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Time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Supporting signal; calibrated against Nepal fintech usage hours.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Recipient Risk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New recipient for established user; aggregated fraud report data.</w:t>
            </w:r>
          </w:p>
        </w:tc>
      </w:tr>
    </w:tbl>
    <w:p>
      <w:pPr>
        <w:spacing w:after="80" w:before="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i/>
          <w:iCs/>
          <w:sz w:val="24"/>
          <w:szCs w:val="24"/>
        </w:rPr>
        <w:t xml:space="preserve">3.3.2 Interaction Terms</w:t>
      </w:r>
    </w:p>
    <w:p>
      <w:pPr>
        <w:spacing w:after="120" w:before="120"/>
      </w:pPr>
      <w:r>
        <w:rPr>
          <w:rFonts w:ascii="Times New Roman" w:cs="Times New Roman" w:eastAsia="Times New Roman" w:hAnsi="Times New Roman"/>
          <w:sz w:val="24"/>
          <w:szCs w:val="24"/>
        </w:rPr>
        <w:t xml:space="preserve">Interaction terms capture combinations of signals that are more suspicious than the sum of their parts. A new device combined with a large amount is scored multiplicatively: device_risk × amount_risk × 10.0 is added as a bonus on top of individual weighted scores. The triple interaction — new device + unusual time + large amount — applies device_risk × time_risk × amount_risk × 15.0. This reflects the real-world observation that coordinated fraud typically triggers multiple signal categories simultaneously.</w:t>
      </w:r>
    </w:p>
    <w:p>
      <w:pPr>
        <w:pStyle w:val="Heading3"/>
        <w:spacing w:after="80" w:before="180"/>
      </w:pPr>
      <w:r>
        <w:rPr>
          <w:rFonts w:ascii="Times New Roman" w:cs="Times New Roman" w:eastAsia="Times New Roman" w:hAnsi="Times New Roman"/>
          <w:b/>
          <w:bCs/>
          <w:i/>
          <w:iCs/>
          <w:sz w:val="24"/>
          <w:szCs w:val="24"/>
        </w:rPr>
        <w:t xml:space="preserve">3.3.3 Hard Floor Overrides</w:t>
      </w:r>
    </w:p>
    <w:p>
      <w:pPr>
        <w:spacing w:after="120" w:before="120"/>
      </w:pPr>
      <w:r>
        <w:rPr>
          <w:rFonts w:ascii="Times New Roman" w:cs="Times New Roman" w:eastAsia="Times New Roman" w:hAnsi="Times New Roman"/>
          <w:sz w:val="24"/>
          <w:szCs w:val="24"/>
        </w:rPr>
        <w:t xml:space="preserve">Certain signals are categorically definitive rather than probabilistically concerning. Hard floor overrides bypass the weighted scoring math for these signals. FLAG-floor signals include: SIM swap detection, TOR exit node, datacenter IP, VPN, mule device pattern, credential stuffing IP pattern, self-transfer. BLOCK-floor signals include: confirmed fraud device (flagged in network), emulator detected.</w:t>
      </w:r>
    </w:p>
    <w:p>
      <w:pPr>
        <w:spacing w:after="120" w:before="120"/>
      </w:pPr>
      <w:r>
        <w:rPr>
          <w:rFonts w:ascii="Times New Roman" w:cs="Times New Roman" w:eastAsia="Times New Roman" w:hAnsi="Times New Roman"/>
          <w:sz w:val="24"/>
          <w:szCs w:val="24"/>
        </w:rPr>
        <w:t xml:space="preserve">A combined-signal escalation rule automatically escalates to BLOCK if two or more independent FLAG-floor signals fire simultaneously, on the basis that independent high-confidence signals co-occurring indicates coordinated fraud rather than coincidence.</w:t>
      </w:r>
    </w:p>
    <w:p>
      <w:pPr>
        <w:pStyle w:val="Heading2"/>
        <w:spacing w:after="120" w:before="240"/>
      </w:pPr>
      <w:r>
        <w:rPr>
          <w:rFonts w:ascii="Times New Roman" w:cs="Times New Roman" w:eastAsia="Times New Roman" w:hAnsi="Times New Roman"/>
          <w:b/>
          <w:bCs/>
          <w:sz w:val="26"/>
          <w:szCs w:val="26"/>
        </w:rPr>
        <w:t xml:space="preserve">3.4 Velocity Counting</w:t>
      </w:r>
    </w:p>
    <w:p>
      <w:pPr>
        <w:spacing w:after="120" w:before="120"/>
      </w:pPr>
      <w:r>
        <w:rPr>
          <w:rFonts w:ascii="Times New Roman" w:cs="Times New Roman" w:eastAsia="Times New Roman" w:hAnsi="Times New Roman"/>
          <w:sz w:val="24"/>
          <w:szCs w:val="24"/>
        </w:rPr>
        <w:t xml:space="preserve">Velocity counters are implemented using Redis sorted sets with Unix nanosecond timestamps as scores. Each signal type (device IPs, device accounts, user transaction rate, IP account attempts, etc.) is stored as a separate sorted set. The member value is the deduplicated entity (e.g., the IP address for device IP tracking), so ZADD is idempotent for repeated values in the same window.</w:t>
      </w:r>
    </w:p>
    <w:p>
      <w:pPr>
        <w:spacing w:after="120" w:before="120"/>
      </w:pPr>
      <w:r>
        <w:rPr>
          <w:rFonts w:ascii="Times New Roman" w:cs="Times New Roman" w:eastAsia="Times New Roman" w:hAnsi="Times New Roman"/>
          <w:sz w:val="24"/>
          <w:szCs w:val="24"/>
        </w:rPr>
        <w:t xml:space="preserve">To count distinct IPs seen by a device in the last hour: ZCOUNT vel:dev:ip:{clientID}:{deviceID} (now-3600000000000) +inf. This returns the count of unique IPs in the window in O(log N) time. All 12 velocity signals are read in a single Redis pipeline, contributing approximately 2ms to total request latency.</w:t>
      </w:r>
    </w:p>
    <w:p>
      <w:pPr>
        <w:pStyle w:val="Heading2"/>
        <w:spacing w:after="120" w:before="240"/>
      </w:pPr>
      <w:r>
        <w:rPr>
          <w:rFonts w:ascii="Times New Roman" w:cs="Times New Roman" w:eastAsia="Times New Roman" w:hAnsi="Times New Roman"/>
          <w:b/>
          <w:bCs/>
          <w:sz w:val="26"/>
          <w:szCs w:val="26"/>
        </w:rPr>
        <w:t xml:space="preserve">3.5 SIM Swap Detection</w:t>
      </w:r>
    </w:p>
    <w:p>
      <w:pPr>
        <w:spacing w:after="120" w:before="120"/>
      </w:pPr>
      <w:r>
        <w:rPr>
          <w:rFonts w:ascii="Times New Roman" w:cs="Times New Roman" w:eastAsia="Times New Roman" w:hAnsi="Times New Roman"/>
          <w:sz w:val="24"/>
          <w:szCs w:val="24"/>
        </w:rPr>
        <w:t xml:space="preserve">On each score request containing a sender_phone field, the handler SHA-256 hashes the normalized phone number and performs Redis SETNX on phone_device:{clientID}:{phoneHash} with the current device_id. SETNX is atomic and only writes if the key does not exist — first-write-wins semantics. If the key already exists with a different device_id, phone_device_mismatch is set to true.</w:t>
      </w:r>
    </w:p>
    <w:p>
      <w:pPr>
        <w:spacing w:after="120" w:before="120"/>
      </w:pPr>
      <w:r>
        <w:rPr>
          <w:rFonts w:ascii="Times New Roman" w:cs="Times New Roman" w:eastAsia="Times New Roman" w:hAnsi="Times New Roman"/>
          <w:sz w:val="24"/>
          <w:szCs w:val="24"/>
        </w:rPr>
        <w:t xml:space="preserve">This boolean flows into computeIdentityRisk() and adds 0.90 to the risk component, plus a hard floor override ensuring at minimum a FLAG decision. The phone number itself is never stored — only the SHA-256 hash — satisfying data minimization requirements under Nepal's pending data protection framework.</w:t>
      </w:r>
    </w:p>
    <w:p>
      <w:pPr>
        <w:pStyle w:val="Heading2"/>
        <w:spacing w:after="120" w:before="240"/>
      </w:pPr>
      <w:r>
        <w:rPr>
          <w:rFonts w:ascii="Times New Roman" w:cs="Times New Roman" w:eastAsia="Times New Roman" w:hAnsi="Times New Roman"/>
          <w:b/>
          <w:bCs/>
          <w:sz w:val="26"/>
          <w:szCs w:val="26"/>
        </w:rPr>
        <w:t xml:space="preserve">3.6 Async Worker Pipeline</w:t>
      </w:r>
    </w:p>
    <w:p>
      <w:pPr>
        <w:spacing w:after="120" w:before="120"/>
      </w:pPr>
      <w:r>
        <w:rPr>
          <w:rFonts w:ascii="Times New Roman" w:cs="Times New Roman" w:eastAsia="Times New Roman" w:hAnsi="Times New Roman"/>
          <w:sz w:val="24"/>
          <w:szCs w:val="24"/>
        </w:rPr>
        <w:t xml:space="preserve">Six Python workers consume NATS events or run on scheduled intervals:</w:t>
      </w:r>
    </w:p>
    <w:p>
      <w:pPr>
        <w:pStyle w:val="ListParagraph"/>
        <w:numPr>
          <w:ilvl w:val="0"/>
          <w:numId w:val="2"/>
        </w:numPr>
        <w:spacing w:after="60" w:before="60"/>
      </w:pPr>
      <w:r>
        <w:rPr>
          <w:rFonts w:ascii="Times New Roman" w:cs="Times New Roman" w:eastAsia="Times New Roman" w:hAnsi="Times New Roman"/>
          <w:sz w:val="24"/>
          <w:szCs w:val="24"/>
        </w:rPr>
        <w:t xml:space="preserve">device_indexer.py: Consumes device.first_seen events, writes to PostgreSQL devices table.</w:t>
      </w:r>
    </w:p>
    <w:p>
      <w:pPr>
        <w:pStyle w:val="ListParagraph"/>
        <w:numPr>
          <w:ilvl w:val="0"/>
          <w:numId w:val="2"/>
        </w:numPr>
        <w:spacing w:after="60" w:before="60"/>
      </w:pPr>
      <w:r>
        <w:rPr>
          <w:rFonts w:ascii="Times New Roman" w:cs="Times New Roman" w:eastAsia="Times New Roman" w:hAnsi="Times New Roman"/>
          <w:sz w:val="24"/>
          <w:szCs w:val="24"/>
        </w:rPr>
        <w:t xml:space="preserve">transaction_indexer.py: Consumes transactions.scored events, writes to PostgreSQL transactions table with full score breakdown.</w:t>
      </w:r>
    </w:p>
    <w:p>
      <w:pPr>
        <w:pStyle w:val="ListParagraph"/>
        <w:numPr>
          <w:ilvl w:val="0"/>
          <w:numId w:val="2"/>
        </w:numPr>
        <w:spacing w:after="60" w:before="60"/>
      </w:pPr>
      <w:r>
        <w:rPr>
          <w:rFonts w:ascii="Times New Roman" w:cs="Times New Roman" w:eastAsia="Times New Roman" w:hAnsi="Times New Roman"/>
          <w:sz w:val="24"/>
          <w:szCs w:val="24"/>
        </w:rPr>
        <w:t xml:space="preserve">user_profile_builder.py: Queries transaction history per user, computes P50/P75/P95/P99 amount percentiles, 24-hour activity distribution, regularity score, known devices and recipients. Writes to Redis persist profile:{clientID}:{userID}.</w:t>
      </w:r>
    </w:p>
    <w:p>
      <w:pPr>
        <w:pStyle w:val="ListParagraph"/>
        <w:numPr>
          <w:ilvl w:val="0"/>
          <w:numId w:val="2"/>
        </w:numPr>
        <w:spacing w:after="60" w:before="60"/>
      </w:pPr>
      <w:r>
        <w:rPr>
          <w:rFonts w:ascii="Times New Roman" w:cs="Times New Roman" w:eastAsia="Times New Roman" w:hAnsi="Times New Roman"/>
          <w:sz w:val="24"/>
          <w:szCs w:val="24"/>
        </w:rPr>
        <w:t xml:space="preserve">device_trust.py: Reads device transaction history, computes trust_score and consistency_score based on transaction volume, fraud flag history, and signal consistency over time. Writes back to device records in Redis persist.</w:t>
      </w:r>
    </w:p>
    <w:p>
      <w:pPr>
        <w:pStyle w:val="ListParagraph"/>
        <w:numPr>
          <w:ilvl w:val="0"/>
          <w:numId w:val="2"/>
        </w:numPr>
        <w:spacing w:after="60" w:before="60"/>
      </w:pPr>
      <w:r>
        <w:rPr>
          <w:rFonts w:ascii="Times New Roman" w:cs="Times New Roman" w:eastAsia="Times New Roman" w:hAnsi="Times New Roman"/>
          <w:sz w:val="24"/>
          <w:szCs w:val="24"/>
        </w:rPr>
        <w:t xml:space="preserve">recipient_risk.py: Aggregates BLOCK decisions and fraud reports per recipient, computes recipient risk scores, writes to Redis cache.</w:t>
      </w:r>
    </w:p>
    <w:p>
      <w:pPr>
        <w:pStyle w:val="ListParagraph"/>
        <w:numPr>
          <w:ilvl w:val="0"/>
          <w:numId w:val="2"/>
        </w:numPr>
        <w:spacing w:after="60" w:before="60"/>
      </w:pPr>
      <w:r>
        <w:rPr>
          <w:rFonts w:ascii="Times New Roman" w:cs="Times New Roman" w:eastAsia="Times New Roman" w:hAnsi="Times New Roman"/>
          <w:sz w:val="24"/>
          <w:szCs w:val="24"/>
        </w:rPr>
        <w:t xml:space="preserve">config_cache.py: Reads client configuration (block_threshold, flag_threshold, plan, monthly_limit) from PostgreSQL, writes to Redis cache config:{clientID} hash every 60 seconds.</w:t>
      </w:r>
    </w:p>
    <w:p>
      <w:r>
        <w:br w:type="page"/>
      </w:r>
    </w:p>
    <w:p>
      <w:pPr>
        <w:pStyle w:val="Heading1"/>
        <w:spacing w:after="180" w:before="360"/>
      </w:pPr>
      <w:r>
        <w:rPr>
          <w:rFonts w:ascii="Times New Roman" w:cs="Times New Roman" w:eastAsia="Times New Roman" w:hAnsi="Times New Roman"/>
          <w:b/>
          <w:bCs/>
          <w:sz w:val="28"/>
          <w:szCs w:val="28"/>
        </w:rPr>
        <w:t xml:space="preserve">4. Implementation</w:t>
      </w:r>
    </w:p>
    <w:p>
      <w:pPr>
        <w:pStyle w:val="Heading2"/>
        <w:spacing w:after="120" w:before="240"/>
      </w:pPr>
      <w:r>
        <w:rPr>
          <w:rFonts w:ascii="Times New Roman" w:cs="Times New Roman" w:eastAsia="Times New Roman" w:hAnsi="Times New Roman"/>
          <w:b/>
          <w:bCs/>
          <w:sz w:val="26"/>
          <w:szCs w:val="26"/>
        </w:rPr>
        <w:t xml:space="preserve">4.1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Layer</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w:t>
            </w:r>
          </w:p>
        </w:tc>
        <w:tc>
          <w:tcPr>
            <w:tcW w:type="dxa" w:w="46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Justification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 Runtime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Go 1.22</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Native concurrency, sub-millisecond goroutine scheduling, minimal GC pauses, strong Redis/NATS ecosystem.</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HTTP Router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go-chi/chi v5</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Lightweight, middleware-composable, idiomatic Go. Minimal overhead vs net/http.</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Primary Cache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Redis 7.2 (two instances)</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Sorted sets for velocity, SETNX for phone binding, HMGET for API key cache. Sub-millisecond latency.</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Message Bus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NATS JetStream</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At-least-once delivery, durable subscriptions, &lt;1ms publish latency.</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Analytics DB</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PostgreSQL 16</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ACID compliance for transaction history. pgxpool for connection pooling.</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GeoIP</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MaxMind GeoLite2</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In-memory MMDB lookup. ~0.1ms per query. No external API call.</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Workers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3.11</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NATS consumer workers. Async I/O via asyncio + nats.py.</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Infrastructure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Oracle Cloud Free Tier ARM64</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 OCPU, 24GB RAM. Zero infrastructure cost. Production-grade ARM64 performance.</w:t>
            </w:r>
          </w:p>
        </w:tc>
      </w:tr>
    </w:tbl>
    <w:p>
      <w:pPr>
        <w:spacing w:after="80" w:before="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4.2 Package Structure</w:t>
      </w:r>
    </w:p>
    <w:p>
      <w:pPr>
        <w:spacing w:after="120" w:before="120"/>
      </w:pPr>
      <w:r>
        <w:rPr>
          <w:rFonts w:ascii="Times New Roman" w:cs="Times New Roman" w:eastAsia="Times New Roman" w:hAnsi="Times New Roman"/>
          <w:sz w:val="24"/>
          <w:szCs w:val="24"/>
        </w:rPr>
        <w:t xml:space="preserve">The Go API is organized into eleven packages with clear dependency direction — no import cycles:</w:t>
      </w:r>
    </w:p>
    <w:p>
      <w:pPr>
        <w:pStyle w:val="ListParagraph"/>
        <w:numPr>
          <w:ilvl w:val="0"/>
          <w:numId w:val="2"/>
        </w:numPr>
        <w:spacing w:after="60" w:before="60"/>
      </w:pPr>
      <w:r>
        <w:rPr>
          <w:rFonts w:ascii="Times New Roman" w:cs="Times New Roman" w:eastAsia="Times New Roman" w:hAnsi="Times New Roman"/>
          <w:sz w:val="24"/>
          <w:szCs w:val="24"/>
        </w:rPr>
        <w:t xml:space="preserve">config — Environment variable loading with typed defaults</w:t>
      </w:r>
    </w:p>
    <w:p>
      <w:pPr>
        <w:pStyle w:val="ListParagraph"/>
        <w:numPr>
          <w:ilvl w:val="0"/>
          <w:numId w:val="2"/>
        </w:numPr>
        <w:spacing w:after="60" w:before="60"/>
      </w:pPr>
      <w:r>
        <w:rPr>
          <w:rFonts w:ascii="Times New Roman" w:cs="Times New Roman" w:eastAsia="Times New Roman" w:hAnsi="Times New Roman"/>
          <w:sz w:val="24"/>
          <w:szCs w:val="24"/>
        </w:rPr>
        <w:t xml:space="preserve">models — Request/response and storage structs (IdentifyRequest, StoredDevice, NetworkInfo, ScoreRequest)</w:t>
      </w:r>
    </w:p>
    <w:p>
      <w:pPr>
        <w:pStyle w:val="ListParagraph"/>
        <w:numPr>
          <w:ilvl w:val="0"/>
          <w:numId w:val="2"/>
        </w:numPr>
        <w:spacing w:after="60" w:before="60"/>
      </w:pPr>
      <w:r>
        <w:rPr>
          <w:rFonts w:ascii="Times New Roman" w:cs="Times New Roman" w:eastAsia="Times New Roman" w:hAnsi="Times New Roman"/>
          <w:sz w:val="24"/>
          <w:szCs w:val="24"/>
        </w:rPr>
        <w:t xml:space="preserve">store — Redis and PostgreSQL data access (device store, API key store, client config)</w:t>
      </w:r>
    </w:p>
    <w:p>
      <w:pPr>
        <w:pStyle w:val="ListParagraph"/>
        <w:numPr>
          <w:ilvl w:val="0"/>
          <w:numId w:val="2"/>
        </w:numPr>
        <w:spacing w:after="60" w:before="60"/>
      </w:pPr>
      <w:r>
        <w:rPr>
          <w:rFonts w:ascii="Times New Roman" w:cs="Times New Roman" w:eastAsia="Times New Roman" w:hAnsi="Times New Roman"/>
          <w:sz w:val="24"/>
          <w:szCs w:val="24"/>
        </w:rPr>
        <w:t xml:space="preserve">velocity — Redis sorted set velocity counters (Record, GetSignals, ComputeRisk)</w:t>
      </w:r>
    </w:p>
    <w:p>
      <w:pPr>
        <w:pStyle w:val="ListParagraph"/>
        <w:numPr>
          <w:ilvl w:val="0"/>
          <w:numId w:val="2"/>
        </w:numPr>
        <w:spacing w:after="60" w:before="60"/>
      </w:pPr>
      <w:r>
        <w:rPr>
          <w:rFonts w:ascii="Times New Roman" w:cs="Times New Roman" w:eastAsia="Times New Roman" w:hAnsi="Times New Roman"/>
          <w:sz w:val="24"/>
          <w:szCs w:val="24"/>
        </w:rPr>
        <w:t xml:space="preserve">matching — Fuzzy signal similarity (ComputeSimilarity, signal comparators, evolution penalty)</w:t>
      </w:r>
    </w:p>
    <w:p>
      <w:pPr>
        <w:pStyle w:val="ListParagraph"/>
        <w:numPr>
          <w:ilvl w:val="0"/>
          <w:numId w:val="2"/>
        </w:numPr>
        <w:spacing w:after="60" w:before="60"/>
      </w:pPr>
      <w:r>
        <w:rPr>
          <w:rFonts w:ascii="Times New Roman" w:cs="Times New Roman" w:eastAsia="Times New Roman" w:hAnsi="Times New Roman"/>
          <w:sz w:val="24"/>
          <w:szCs w:val="24"/>
        </w:rPr>
        <w:t xml:space="preserve">scoring — Pure scoring engine (engine.go, device.go, behavioral.go, network.go, identity.go, recipient.go, consistency.go, math.go, explanation.go)</w:t>
      </w:r>
    </w:p>
    <w:p>
      <w:pPr>
        <w:pStyle w:val="ListParagraph"/>
        <w:numPr>
          <w:ilvl w:val="0"/>
          <w:numId w:val="2"/>
        </w:numPr>
        <w:spacing w:after="60" w:before="60"/>
      </w:pPr>
      <w:r>
        <w:rPr>
          <w:rFonts w:ascii="Times New Roman" w:cs="Times New Roman" w:eastAsia="Times New Roman" w:hAnsi="Times New Roman"/>
          <w:sz w:val="24"/>
          <w:szCs w:val="24"/>
        </w:rPr>
        <w:t xml:space="preserve">geoip — MaxMind MMDB enrichment with in-memory lookup and VPN/datacenter detection</w:t>
      </w:r>
    </w:p>
    <w:p>
      <w:pPr>
        <w:pStyle w:val="ListParagraph"/>
        <w:numPr>
          <w:ilvl w:val="0"/>
          <w:numId w:val="2"/>
        </w:numPr>
        <w:spacing w:after="60" w:before="60"/>
      </w:pPr>
      <w:r>
        <w:rPr>
          <w:rFonts w:ascii="Times New Roman" w:cs="Times New Roman" w:eastAsia="Times New Roman" w:hAnsi="Times New Roman"/>
          <w:sz w:val="24"/>
          <w:szCs w:val="24"/>
        </w:rPr>
        <w:t xml:space="preserve">middleware — APIKeyAuth, RateLimiter, RequestSigningMiddleware, GeoIPMiddleware</w:t>
      </w:r>
    </w:p>
    <w:p>
      <w:pPr>
        <w:pStyle w:val="ListParagraph"/>
        <w:numPr>
          <w:ilvl w:val="0"/>
          <w:numId w:val="2"/>
        </w:numPr>
        <w:spacing w:after="60" w:before="60"/>
      </w:pPr>
      <w:r>
        <w:rPr>
          <w:rFonts w:ascii="Times New Roman" w:cs="Times New Roman" w:eastAsia="Times New Roman" w:hAnsi="Times New Roman"/>
          <w:sz w:val="24"/>
          <w:szCs w:val="24"/>
        </w:rPr>
        <w:t xml:space="preserve">quota — Monthly quota checker with pilot/paid plan differentiation</w:t>
      </w:r>
    </w:p>
    <w:p>
      <w:pPr>
        <w:pStyle w:val="ListParagraph"/>
        <w:numPr>
          <w:ilvl w:val="0"/>
          <w:numId w:val="2"/>
        </w:numPr>
        <w:spacing w:after="60" w:before="60"/>
      </w:pPr>
      <w:r>
        <w:rPr>
          <w:rFonts w:ascii="Times New Roman" w:cs="Times New Roman" w:eastAsia="Times New Roman" w:hAnsi="Times New Roman"/>
          <w:sz w:val="24"/>
          <w:szCs w:val="24"/>
        </w:rPr>
        <w:t xml:space="preserve">messaging — NATS client wrapper with typed Publish</w:t>
      </w:r>
    </w:p>
    <w:p>
      <w:pPr>
        <w:pStyle w:val="ListParagraph"/>
        <w:numPr>
          <w:ilvl w:val="0"/>
          <w:numId w:val="2"/>
        </w:numPr>
        <w:spacing w:after="60" w:before="60"/>
      </w:pPr>
      <w:r>
        <w:rPr>
          <w:rFonts w:ascii="Times New Roman" w:cs="Times New Roman" w:eastAsia="Times New Roman" w:hAnsi="Times New Roman"/>
          <w:sz w:val="24"/>
          <w:szCs w:val="24"/>
        </w:rPr>
        <w:t xml:space="preserve">handlers — Identify, Score, Dashboard, Admin, SuperAdmin, Health</w:t>
      </w:r>
    </w:p>
    <w:p>
      <w:pPr>
        <w:pStyle w:val="Heading2"/>
        <w:spacing w:after="120" w:before="240"/>
      </w:pPr>
      <w:r>
        <w:rPr>
          <w:rFonts w:ascii="Times New Roman" w:cs="Times New Roman" w:eastAsia="Times New Roman" w:hAnsi="Times New Roman"/>
          <w:b/>
          <w:bCs/>
          <w:sz w:val="26"/>
          <w:szCs w:val="26"/>
        </w:rPr>
        <w:t xml:space="preserve">4.3 Key Implementation Details</w:t>
      </w:r>
    </w:p>
    <w:p>
      <w:pPr>
        <w:pStyle w:val="Heading3"/>
        <w:spacing w:after="80" w:before="180"/>
      </w:pPr>
      <w:r>
        <w:rPr>
          <w:rFonts w:ascii="Times New Roman" w:cs="Times New Roman" w:eastAsia="Times New Roman" w:hAnsi="Times New Roman"/>
          <w:b/>
          <w:bCs/>
          <w:i/>
          <w:iCs/>
          <w:sz w:val="24"/>
          <w:szCs w:val="24"/>
        </w:rPr>
        <w:t xml:space="preserve">4.3.1 API Key Authentication</w:t>
      </w:r>
    </w:p>
    <w:p>
      <w:pPr>
        <w:spacing w:after="120" w:before="120"/>
      </w:pPr>
      <w:r>
        <w:rPr>
          <w:rFonts w:ascii="Times New Roman" w:cs="Times New Roman" w:eastAsia="Times New Roman" w:hAnsi="Times New Roman"/>
          <w:sz w:val="24"/>
          <w:szCs w:val="24"/>
        </w:rPr>
        <w:t xml:space="preserve">API keys are 64-character random hex strings (256-bit entropy). Only the SHA-256 hash is stored in PostgreSQL — the raw key is returned once at creation and never stored. SHA-256 is used rather than bcrypt because the key entropy makes brute force infeasible regardless of hashing speed, and bcrypt's deliberate slowness would add approximately 100ms per auth request, violating the latency budget. A 5-minute Redis cache (Redis HMGET on apikey:{hash}) means the PostgreSQL lookup occurs only on cache miss — approximately 1 in 3,000 requests under normal traffic.</w:t>
      </w:r>
    </w:p>
    <w:p>
      <w:pPr>
        <w:pStyle w:val="Heading3"/>
        <w:spacing w:after="80" w:before="180"/>
      </w:pPr>
      <w:r>
        <w:rPr>
          <w:rFonts w:ascii="Times New Roman" w:cs="Times New Roman" w:eastAsia="Times New Roman" w:hAnsi="Times New Roman"/>
          <w:b/>
          <w:bCs/>
          <w:i/>
          <w:iCs/>
          <w:sz w:val="24"/>
          <w:szCs w:val="24"/>
        </w:rPr>
        <w:t xml:space="preserve">4.3.2 Request Signing</w:t>
      </w:r>
    </w:p>
    <w:p>
      <w:pPr>
        <w:spacing w:after="120" w:before="120"/>
      </w:pPr>
      <w:r>
        <w:rPr>
          <w:rFonts w:ascii="Times New Roman" w:cs="Times New Roman" w:eastAsia="Times New Roman" w:hAnsi="Times New Roman"/>
          <w:sz w:val="24"/>
          <w:szCs w:val="24"/>
        </w:rPr>
        <w:t xml:space="preserve">Optional HMAC-SHA256 request signing provides replay protection for production integrations. The signing scheme: message = METHOD + path + timestamp + SHA-256(body). The HMAC is compared using hmac.Equal() for constant-time comparison, preventing timing attacks. Replay prevention uses Redis SETNX on the signature with a 10-minute TTL. The timestamp freshness window is ±5 minutes. Signing is optional — requests without signing headers are accepted with a logged warning during the migration grace period.</w:t>
      </w:r>
    </w:p>
    <w:p>
      <w:pPr>
        <w:pStyle w:val="Heading3"/>
        <w:spacing w:after="80" w:before="180"/>
      </w:pPr>
      <w:r>
        <w:rPr>
          <w:rFonts w:ascii="Times New Roman" w:cs="Times New Roman" w:eastAsia="Times New Roman" w:hAnsi="Times New Roman"/>
          <w:b/>
          <w:bCs/>
          <w:i/>
          <w:iCs/>
          <w:sz w:val="24"/>
          <w:szCs w:val="24"/>
        </w:rPr>
        <w:t xml:space="preserve">4.3.3 Signal Consistency Engine</w:t>
      </w:r>
    </w:p>
    <w:p>
      <w:pPr>
        <w:spacing w:after="120" w:before="120"/>
      </w:pPr>
      <w:r>
        <w:rPr>
          <w:rFonts w:ascii="Times New Roman" w:cs="Times New Roman" w:eastAsia="Times New Roman" w:hAnsi="Times New Roman"/>
          <w:sz w:val="24"/>
          <w:szCs w:val="24"/>
        </w:rPr>
        <w:t xml:space="preserve">The consistency engine (scoring/consistency.go) validates that device signal combinations are physically possible before scoring. Impossible combinations with their penalties: iOS user agent + NVIDIA GPU renderer (+0.60), Android user agent + Apple GPU (+0.60), Apple M-series GPU + non-Apple user agent (+0.50), mobile user agent + zero touch points (+0.35), Windows user agent + Mac platform field (+0.40), webdriver:true + &gt;100 mouse events (+0.20), incognito:true + &gt;2 granted permissions (+0.15). These checks catch misconfigured anti-detect browsers and automation frameworks that do not consistently spoof all signal fields.</w:t>
      </w:r>
    </w:p>
    <w:p>
      <w:pPr>
        <w:pStyle w:val="Heading2"/>
        <w:spacing w:after="120" w:before="240"/>
      </w:pPr>
      <w:r>
        <w:rPr>
          <w:rFonts w:ascii="Times New Roman" w:cs="Times New Roman" w:eastAsia="Times New Roman" w:hAnsi="Times New Roman"/>
          <w:b/>
          <w:bCs/>
          <w:sz w:val="26"/>
          <w:szCs w:val="26"/>
        </w:rPr>
        <w:t xml:space="preserve">4.4 SDK Implementation</w:t>
      </w:r>
    </w:p>
    <w:p>
      <w:pPr>
        <w:spacing w:after="120" w:before="120"/>
      </w:pPr>
      <w:r>
        <w:rPr>
          <w:rFonts w:ascii="Times New Roman" w:cs="Times New Roman" w:eastAsia="Times New Roman" w:hAnsi="Times New Roman"/>
          <w:sz w:val="24"/>
          <w:szCs w:val="24"/>
        </w:rPr>
        <w:t xml:space="preserve">Three SDKs collect device signals for the identify endpoint:</w:t>
      </w:r>
    </w:p>
    <w:p>
      <w:pPr>
        <w:pStyle w:val="Heading3"/>
        <w:spacing w:after="80" w:before="180"/>
      </w:pPr>
      <w:r>
        <w:rPr>
          <w:rFonts w:ascii="Times New Roman" w:cs="Times New Roman" w:eastAsia="Times New Roman" w:hAnsi="Times New Roman"/>
          <w:b/>
          <w:bCs/>
          <w:i/>
          <w:iCs/>
          <w:sz w:val="24"/>
          <w:szCs w:val="24"/>
        </w:rPr>
        <w:t xml:space="preserve">4.4.1 JavaScript SDK</w:t>
      </w:r>
    </w:p>
    <w:p>
      <w:pPr>
        <w:spacing w:after="120" w:before="120"/>
      </w:pPr>
      <w:r>
        <w:rPr>
          <w:rFonts w:ascii="Times New Roman" w:cs="Times New Roman" w:eastAsia="Times New Roman" w:hAnsi="Times New Roman"/>
          <w:sz w:val="24"/>
          <w:szCs w:val="24"/>
        </w:rPr>
        <w:t xml:space="preserve">The JavaScript SDK collects: WebGL renderer and vendor strings (GPU detection), canvas 2D rendering hash (hardware-derived), AudioContext fingerprint (audio stack hash), installed font detection via canvas measurement, screen dimensions and color depth, navigator properties (platform, language, hardware concurrency, device memory), touch support and maximum touch points, timezone via Intl API, storage availability (localStorage, sessionStorage, indexedDB, cookieEnabled), battery API if available, incognito detection via storage quota measurement. All signals are combined and SHA-256 hashed client-side to produce local_fp.</w:t>
      </w:r>
    </w:p>
    <w:p>
      <w:pPr>
        <w:pStyle w:val="Heading3"/>
        <w:spacing w:after="80" w:before="180"/>
      </w:pPr>
      <w:r>
        <w:rPr>
          <w:rFonts w:ascii="Times New Roman" w:cs="Times New Roman" w:eastAsia="Times New Roman" w:hAnsi="Times New Roman"/>
          <w:b/>
          <w:bCs/>
          <w:i/>
          <w:iCs/>
          <w:sz w:val="24"/>
          <w:szCs w:val="24"/>
        </w:rPr>
        <w:t xml:space="preserve">4.4.2 Android SDK</w:t>
      </w:r>
    </w:p>
    <w:p>
      <w:pPr>
        <w:spacing w:after="120" w:before="120"/>
      </w:pPr>
      <w:r>
        <w:rPr>
          <w:rFonts w:ascii="Times New Roman" w:cs="Times New Roman" w:eastAsia="Times New Roman" w:hAnsi="Times New Roman"/>
          <w:sz w:val="24"/>
          <w:szCs w:val="24"/>
        </w:rPr>
        <w:t xml:space="preserve">The Android SDK accesses hardware-level signals unavailable in browsers: GPU renderer via OpenGL ES, device build fingerprint, hardware serial hash, screen density, installed application hash, SIM card state and operator (for SIM swap correlation), Bluetooth and WiFi MAC address hash, sensor availability (accelerometer, gyroscope).</w:t>
      </w:r>
    </w:p>
    <w:p>
      <w:pPr>
        <w:pStyle w:val="Heading3"/>
        <w:spacing w:after="80" w:before="180"/>
      </w:pPr>
      <w:r>
        <w:rPr>
          <w:rFonts w:ascii="Times New Roman" w:cs="Times New Roman" w:eastAsia="Times New Roman" w:hAnsi="Times New Roman"/>
          <w:b/>
          <w:bCs/>
          <w:i/>
          <w:iCs/>
          <w:sz w:val="24"/>
          <w:szCs w:val="24"/>
        </w:rPr>
        <w:t xml:space="preserve">4.4.3 iOS SDK</w:t>
      </w:r>
    </w:p>
    <w:p>
      <w:pPr>
        <w:spacing w:after="120" w:before="120"/>
      </w:pPr>
      <w:r>
        <w:rPr>
          <w:rFonts w:ascii="Times New Roman" w:cs="Times New Roman" w:eastAsia="Times New Roman" w:hAnsi="Times New Roman"/>
          <w:sz w:val="24"/>
          <w:szCs w:val="24"/>
        </w:rPr>
        <w:t xml:space="preserve">The iOS SDK collects: Metal GPU device name, device model identifier, IDFV (Identifier for Vendor), jailbreak detection via file system access checks, screen scale factor, app version and build number, carrier name via CTTelephonyNetworkInfo.</w:t>
      </w:r>
    </w:p>
    <w:p>
      <w:r>
        <w:br w:type="page"/>
      </w:r>
    </w:p>
    <w:p>
      <w:pPr>
        <w:pStyle w:val="Heading1"/>
        <w:spacing w:after="180" w:before="360"/>
      </w:pPr>
      <w:r>
        <w:rPr>
          <w:rFonts w:ascii="Times New Roman" w:cs="Times New Roman" w:eastAsia="Times New Roman" w:hAnsi="Times New Roman"/>
          <w:b/>
          <w:bCs/>
          <w:sz w:val="28"/>
          <w:szCs w:val="28"/>
        </w:rPr>
        <w:t xml:space="preserve">5. Results and Discussion</w:t>
      </w:r>
    </w:p>
    <w:p>
      <w:pPr>
        <w:pStyle w:val="Heading2"/>
        <w:spacing w:after="120" w:before="240"/>
      </w:pPr>
      <w:r>
        <w:rPr>
          <w:rFonts w:ascii="Times New Roman" w:cs="Times New Roman" w:eastAsia="Times New Roman" w:hAnsi="Times New Roman"/>
          <w:b/>
          <w:bCs/>
          <w:sz w:val="26"/>
          <w:szCs w:val="26"/>
        </w:rPr>
        <w:t xml:space="preserve">5.1 Performance Results</w:t>
      </w:r>
    </w:p>
    <w:p>
      <w:pPr>
        <w:spacing w:after="120" w:before="120"/>
      </w:pPr>
      <w:r>
        <w:rPr>
          <w:rFonts w:ascii="Times New Roman" w:cs="Times New Roman" w:eastAsia="Times New Roman" w:hAnsi="Times New Roman"/>
          <w:sz w:val="24"/>
          <w:szCs w:val="24"/>
        </w:rPr>
        <w:t xml:space="preserve">Load testing was conducted using k6 against an Oracle Cloud Free Tier ARM64 instance (4 OCPU, 24GB RAM) running the Go API, two Redis instances, and NATS co-located. PostgreSQL was hosted separately. The following results were recorded under sustained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13"/>
        <w:gridCol w:w="1913"/>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Target</w:t>
            </w:r>
          </w:p>
        </w:tc>
        <w:tc>
          <w:tcPr>
            <w:tcW w:type="dxa" w:w="19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Achieved</w:t>
            </w:r>
          </w:p>
        </w:tc>
        <w:tc>
          <w:tcPr>
            <w:tcW w:type="dxa" w:w="191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P95 Response Latency (/score)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200ms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P99 Response Latency (/score)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500ms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89ms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Throughput (sustained)</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3,000 req/s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3,247 req/s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P95 Latency (/identify, Layer 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500ms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P95 Latency (/identify, Layer 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500ms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187ms</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Error Rate (5xx) under load</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0.1%</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0.02%</w:t>
            </w:r>
          </w:p>
        </w:tc>
        <w:tc>
          <w:tcPr>
            <w:tcW w:type="dxa" w:w="19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bl>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The P95 latency of 42ms on the score endpoint is significantly below the 200ms target, providing substantial headroom for higher-traffic deployments. The dominant latency components are Redis pipeline reads (approximately 2-4ms) and network round-trip (approximately 1-2ms for co-located Redis). The scoring engine itself contributes less than 0.5ms — confirming the value of the pure function design that performs no I/O during score computation.</w:t>
      </w:r>
    </w:p>
    <w:p>
      <w:pPr>
        <w:pStyle w:val="Heading2"/>
        <w:spacing w:after="120" w:before="240"/>
      </w:pPr>
      <w:r>
        <w:rPr>
          <w:rFonts w:ascii="Times New Roman" w:cs="Times New Roman" w:eastAsia="Times New Roman" w:hAnsi="Times New Roman"/>
          <w:b/>
          <w:bCs/>
          <w:sz w:val="26"/>
          <w:szCs w:val="26"/>
        </w:rPr>
        <w:t xml:space="preserve">5.2 Test Suite Results</w:t>
      </w:r>
    </w:p>
    <w:p>
      <w:pPr>
        <w:spacing w:after="120" w:before="120"/>
      </w:pPr>
      <w:r>
        <w:rPr>
          <w:rFonts w:ascii="Times New Roman" w:cs="Times New Roman" w:eastAsia="Times New Roman" w:hAnsi="Times New Roman"/>
          <w:sz w:val="24"/>
          <w:szCs w:val="24"/>
        </w:rPr>
        <w:t xml:space="preserve">A 168-test automated suite was developed covering: device identification cascade (all three layers plus new device enrollment), scoring engine component isolation tests, interaction term verification, hard floor override behavior, velocity counter accuracy, SIM swap detection, quota system behavior (pilot vs paid plan), API key lifecycle (create, cache, revoke, cache invalidation), rate limiting (per-IP, per-key, per-device), and request signing (timestamp freshness, HMAC validation, replay rejection).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2626"/>
      </w:tblGrid>
      <w:tr>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Category</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Total</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Passed</w:t>
            </w:r>
          </w:p>
        </w:tc>
        <w:tc>
          <w:tcPr>
            <w:tcW w:type="dxa" w:w="26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Pass Rate</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 Identification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27</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96.4%</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Scoring Engine Components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40</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95.2%</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 Floor Overrides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Velocity Counters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91.7%</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Production Layer (Auth/RL/Signing)</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29</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90.6%</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Quota System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83.3%</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TOTAL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156</w:t>
            </w:r>
          </w:p>
        </w:tc>
        <w:tc>
          <w:tcPr>
            <w:tcW w:type="dxa" w:w="2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92.9%</w:t>
            </w:r>
          </w:p>
        </w:tc>
      </w:tr>
    </w:tbl>
    <w:p>
      <w:pPr>
        <w:spacing w:after="80" w:before="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5.3 Discussion</w:t>
      </w:r>
    </w:p>
    <w:p>
      <w:pPr>
        <w:spacing w:after="120" w:before="120"/>
      </w:pPr>
      <w:r>
        <w:rPr>
          <w:rFonts w:ascii="Times New Roman" w:cs="Times New Roman" w:eastAsia="Times New Roman" w:hAnsi="Times New Roman"/>
          <w:sz w:val="24"/>
          <w:szCs w:val="24"/>
        </w:rPr>
        <w:t xml:space="preserve">The 42ms P95 latency on the score endpoint validates the core architectural decision to place all I/O before the scoring engine and to use NATS for async Postgres writes. The 200ms budget was designed conservatively, and the achieved latency provides headroom for additional enrichment steps (machine learning inference, additional data sources) in future iterations.</w:t>
      </w:r>
    </w:p>
    <w:p>
      <w:pPr>
        <w:spacing w:after="120" w:before="120"/>
      </w:pPr>
      <w:r>
        <w:rPr>
          <w:rFonts w:ascii="Times New Roman" w:cs="Times New Roman" w:eastAsia="Times New Roman" w:hAnsi="Times New Roman"/>
          <w:sz w:val="24"/>
          <w:szCs w:val="24"/>
        </w:rPr>
        <w:t xml:space="preserve">The 92.9% test pass rate exceeds the 92% target. The primary failure modes in the quota system tests (83.3% pass rate) are related to time-window boundary conditions where the monthly counter key transitions — a known edge case in the fixed-period quota key design that is identified for remediation in the next iteration.</w:t>
      </w:r>
    </w:p>
    <w:p>
      <w:pPr>
        <w:spacing w:after="120" w:before="120"/>
      </w:pPr>
      <w:r>
        <w:rPr>
          <w:rFonts w:ascii="Times New Roman" w:cs="Times New Roman" w:eastAsia="Times New Roman" w:hAnsi="Times New Roman"/>
          <w:sz w:val="24"/>
          <w:szCs w:val="24"/>
        </w:rPr>
        <w:t xml:space="preserve">The Layer 3 fuzzy matching P95 of 187ms is the closest to the 500ms budget. Under high load with large block key sets (many devices per screen-resolution bucket), this could become a bottleneck. Pre-filtering via block keys keeps the candidate set bounded, but optimizing the fuzzy matching path — potentially via approximate nearest neighbor indexing using pgvector — is identified as a priority for the next development phase.</w:t>
      </w:r>
    </w:p>
    <w:p>
      <w:r>
        <w:br w:type="page"/>
      </w:r>
    </w:p>
    <w:p>
      <w:pPr>
        <w:pStyle w:val="Heading1"/>
        <w:spacing w:after="180" w:before="360"/>
      </w:pPr>
      <w:r>
        <w:rPr>
          <w:rFonts w:ascii="Times New Roman" w:cs="Times New Roman" w:eastAsia="Times New Roman" w:hAnsi="Times New Roman"/>
          <w:b/>
          <w:bCs/>
          <w:sz w:val="28"/>
          <w:szCs w:val="28"/>
        </w:rPr>
        <w:t xml:space="preserve">6. Conclusion</w:t>
      </w:r>
    </w:p>
    <w:p>
      <w:pPr>
        <w:spacing w:after="120" w:before="120"/>
      </w:pPr>
      <w:r>
        <w:rPr>
          <w:rFonts w:ascii="Times New Roman" w:cs="Times New Roman" w:eastAsia="Times New Roman" w:hAnsi="Times New Roman"/>
          <w:sz w:val="24"/>
          <w:szCs w:val="24"/>
        </w:rPr>
        <w:t xml:space="preserve">Flint Secure demonstrates that production-grade fraud detection infrastructure — sub-50ms P95 latency, seven-dimensional risk scoring, device-level fingerprinting, SIM swap detection, and behavioral profiling — is achievable with open-source components on commodity cloud infrastructure. The system addresses a documented market gap in Nepal's digital payment ecosystem where commercial alternatives are economically inaccessible and locally uncalibrated.</w:t>
      </w:r>
    </w:p>
    <w:p>
      <w:pPr>
        <w:spacing w:after="120" w:before="120"/>
      </w:pPr>
      <w:r>
        <w:rPr>
          <w:rFonts w:ascii="Times New Roman" w:cs="Times New Roman" w:eastAsia="Times New Roman" w:hAnsi="Times New Roman"/>
          <w:sz w:val="24"/>
          <w:szCs w:val="24"/>
        </w:rPr>
        <w:t xml:space="preserve">The primary technical contributions of this project are: (1) a three-layer device identity cascade that maintains stable device identification across browser and OS updates; (2) a composite risk scoring engine with Nepal-specific weight calibration derived from FIU-Nepal fraud pattern data; (3) a SIM swap detector using first-write-wins phone-to-device binding with SHA-256 phone hash storage; (4) a Redis sorted set velocity system providing 12 fraud pattern signals in a single pipelined round-trip; and (5) a complete async worker pipeline that decouples expensive computation (behavioral profiling, trust scoring, recipient risk aggregation) from the latency-critical request path.</w:t>
      </w:r>
    </w:p>
    <w:p>
      <w:pPr>
        <w:pStyle w:val="Heading2"/>
        <w:spacing w:after="120" w:before="240"/>
      </w:pPr>
      <w:r>
        <w:rPr>
          <w:rFonts w:ascii="Times New Roman" w:cs="Times New Roman" w:eastAsia="Times New Roman" w:hAnsi="Times New Roman"/>
          <w:b/>
          <w:bCs/>
          <w:sz w:val="26"/>
          <w:szCs w:val="26"/>
        </w:rPr>
        <w:t xml:space="preserve">6.1 Further Works</w:t>
      </w:r>
    </w:p>
    <w:p>
      <w:pPr>
        <w:spacing w:after="120" w:before="120"/>
      </w:pPr>
      <w:r>
        <w:rPr>
          <w:rFonts w:ascii="Times New Roman" w:cs="Times New Roman" w:eastAsia="Times New Roman" w:hAnsi="Times New Roman"/>
          <w:sz w:val="24"/>
          <w:szCs w:val="24"/>
        </w:rPr>
        <w:t xml:space="preserve">The following directions are identified for future development:</w:t>
      </w:r>
    </w:p>
    <w:p>
      <w:pPr>
        <w:pStyle w:val="ListParagraph"/>
        <w:numPr>
          <w:ilvl w:val="0"/>
          <w:numId w:val="2"/>
        </w:numPr>
        <w:spacing w:after="60" w:before="60"/>
      </w:pPr>
      <w:r>
        <w:rPr>
          <w:rFonts w:ascii="Times New Roman" w:cs="Times New Roman" w:eastAsia="Times New Roman" w:hAnsi="Times New Roman"/>
          <w:sz w:val="24"/>
          <w:szCs w:val="24"/>
        </w:rPr>
        <w:t xml:space="preserve">Machine learning integration: Replace deterministic scoring weights with gradient-boosted tree models (XGBoost, LightGBM) trained on accumulated transaction data. The current rule-based engine provides interpretable baseline performance and generates the labeled training data that ML models will require.</w:t>
      </w:r>
    </w:p>
    <w:p>
      <w:pPr>
        <w:pStyle w:val="ListParagraph"/>
        <w:numPr>
          <w:ilvl w:val="0"/>
          <w:numId w:val="2"/>
        </w:numPr>
        <w:spacing w:after="60" w:before="60"/>
      </w:pPr>
      <w:r>
        <w:rPr>
          <w:rFonts w:ascii="Times New Roman" w:cs="Times New Roman" w:eastAsia="Times New Roman" w:hAnsi="Times New Roman"/>
          <w:sz w:val="24"/>
          <w:szCs w:val="24"/>
        </w:rPr>
        <w:t xml:space="preserve">pgvector approximate nearest neighbor indexing for fuzzy device matching, replacing the current block-key pre-filtering approach and reducing Layer 3 identify latency from 187ms to under 50ms.</w:t>
      </w:r>
    </w:p>
    <w:p>
      <w:pPr>
        <w:pStyle w:val="ListParagraph"/>
        <w:numPr>
          <w:ilvl w:val="0"/>
          <w:numId w:val="2"/>
        </w:numPr>
        <w:spacing w:after="60" w:before="60"/>
      </w:pPr>
      <w:r>
        <w:rPr>
          <w:rFonts w:ascii="Times New Roman" w:cs="Times New Roman" w:eastAsia="Times New Roman" w:hAnsi="Times New Roman"/>
          <w:sz w:val="24"/>
          <w:szCs w:val="24"/>
        </w:rPr>
        <w:t xml:space="preserve">Federated learning across client networks: Allow device trust signals to propagate across Flint Secure clients (with appropriate privacy controls) so that a device flagged by one PSP is treated as suspicious by all PSPs on the network — a network effect that increases detection rates over time.</w:t>
      </w:r>
    </w:p>
    <w:p>
      <w:pPr>
        <w:pStyle w:val="ListParagraph"/>
        <w:numPr>
          <w:ilvl w:val="0"/>
          <w:numId w:val="2"/>
        </w:numPr>
        <w:spacing w:after="60" w:before="60"/>
      </w:pPr>
      <w:r>
        <w:rPr>
          <w:rFonts w:ascii="Times New Roman" w:cs="Times New Roman" w:eastAsia="Times New Roman" w:hAnsi="Times New Roman"/>
          <w:sz w:val="24"/>
          <w:szCs w:val="24"/>
        </w:rPr>
        <w:t xml:space="preserve">FIU-Nepal API integration for real-time regulatory data feeds, replacing manually updated blocklists with live sanctions and watchlist data.</w:t>
      </w:r>
    </w:p>
    <w:p>
      <w:pPr>
        <w:pStyle w:val="ListParagraph"/>
        <w:numPr>
          <w:ilvl w:val="0"/>
          <w:numId w:val="2"/>
        </w:numPr>
        <w:spacing w:after="60" w:before="60"/>
      </w:pPr>
      <w:r>
        <w:rPr>
          <w:rFonts w:ascii="Times New Roman" w:cs="Times New Roman" w:eastAsia="Times New Roman" w:hAnsi="Times New Roman"/>
          <w:sz w:val="24"/>
          <w:szCs w:val="24"/>
        </w:rPr>
        <w:t xml:space="preserve">Dashboard and analytics frontend: A Next.js dashboard for fraud analysts to review flagged transactions, manage alert queues, and configure per-client scoring thresholds.</w:t>
      </w:r>
    </w:p>
    <w:p>
      <w:pPr>
        <w:pStyle w:val="ListParagraph"/>
        <w:numPr>
          <w:ilvl w:val="0"/>
          <w:numId w:val="2"/>
        </w:numPr>
        <w:spacing w:after="60" w:before="60"/>
      </w:pPr>
      <w:r>
        <w:rPr>
          <w:rFonts w:ascii="Times New Roman" w:cs="Times New Roman" w:eastAsia="Times New Roman" w:hAnsi="Times New Roman"/>
          <w:sz w:val="24"/>
          <w:szCs w:val="24"/>
        </w:rPr>
        <w:t xml:space="preserve">Formal security audit covering the HMAC signing implementation, Redis key isolation guarantees, and phone hash storage practices against Nepal's emerging data protection framework.</w:t>
      </w:r>
    </w:p>
    <w:p>
      <w:r>
        <w:br w:type="page"/>
      </w:r>
    </w:p>
    <w:p>
      <w:pPr>
        <w:pStyle w:val="Heading1"/>
        <w:spacing w:after="180" w:before="360"/>
      </w:pPr>
      <w:r>
        <w:rPr>
          <w:rFonts w:ascii="Times New Roman" w:cs="Times New Roman" w:eastAsia="Times New Roman" w:hAnsi="Times New Roman"/>
          <w:b/>
          <w:bCs/>
          <w:sz w:val="28"/>
          <w:szCs w:val="28"/>
        </w:rPr>
        <w:t xml:space="preserve">Bibliography / References</w:t>
      </w:r>
    </w:p>
    <w:p>
      <w:pPr>
        <w:spacing w:after="120" w:before="120"/>
      </w:pPr>
      <w:r>
        <w:rPr>
          <w:rFonts w:ascii="Times New Roman" w:cs="Times New Roman" w:eastAsia="Times New Roman" w:hAnsi="Times New Roman"/>
          <w:sz w:val="24"/>
          <w:szCs w:val="24"/>
        </w:rPr>
        <w:t xml:space="preserve">Bolton, R. J., &amp; Hand, D. J. (2002). Statistical Fraud Detection: A Review. Statistical Science, 17(3), 235–255.</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Dal Pozzolo, A., Caelen, O., Johnson, R. A., &amp; Bontempi, G. (2015). Calibrating Probability with Undersampling for Unbalanced Classification. 2015 IEEE Symposium Series on Computational Intelligence.</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Eckersley, P. (2010). How Unique Is Your Web Browser? Privacy Enhancing Technologies Symposium (PETS 2010). Electronic Frontier Foundation.</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Fiore, U., De Santis, A., Perla, F., Zanetti, P., &amp; Palmieri, F. (2019). Using Generative Adversarial Networks for Improving Classification Effectiveness in Credit Card Fraud Detection. Information Sciences, 479, 448–455.</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Financial Intelligence Unit Nepal (FIU-Nepal). (2024). Annual Report 2023/24. Government of Nepal, Nepal Rastra Bank.</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Laperdrix, P., Rudametkin, W., &amp; Baudry, B. (2016). Beauty and the Beast: Diverting Modern Web Browsers to Build Unique Browser Fingerprints. IEEE Symposium on Security and Privacy (SP).</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Mjaaland, B. B., Heeger, J., &amp; Wolthusen, S. D. (2021). SIM Swap: A New Insider Attack in the Mobile Banking Ecosystem. 2021 IEEE International Conference on Cyber Security and Resilience (CSR).</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Vastel, A., Laperdrix, P., Rudametkin, W., &amp; Rouvoy, R. (2018). FP-STALKER: Tracking Browser Fingerprint Evolutions. 2018 IEEE Symposium on Security and Privacy.</w:t>
      </w:r>
    </w:p>
    <w:p>
      <w:pPr>
        <w:spacing w:after="80" w:before="8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sz w:val="24"/>
          <w:szCs w:val="24"/>
        </w:rPr>
        <w:t xml:space="preserve">West, J., &amp; Bhattacharya, M. (2016). Intelligent Financial Fraud Detection: A Comprehensive Review. Computers &amp; Security, 57, 47–66.</w:t>
      </w:r>
    </w:p>
    <w:p>
      <w:r>
        <w:br w:type="page"/>
      </w:r>
    </w:p>
    <w:p>
      <w:pPr>
        <w:pStyle w:val="Heading1"/>
        <w:spacing w:after="180" w:before="360"/>
      </w:pPr>
      <w:r>
        <w:rPr>
          <w:rFonts w:ascii="Times New Roman" w:cs="Times New Roman" w:eastAsia="Times New Roman" w:hAnsi="Times New Roman"/>
          <w:b/>
          <w:bCs/>
          <w:sz w:val="28"/>
          <w:szCs w:val="28"/>
        </w:rPr>
        <w:t xml:space="preserve">Appendix A: API Endpoint Reference</w:t>
      </w:r>
    </w:p>
    <w:p>
      <w:pPr>
        <w:pStyle w:val="Heading2"/>
        <w:spacing w:after="120" w:before="240"/>
      </w:pPr>
      <w:r>
        <w:rPr>
          <w:rFonts w:ascii="Times New Roman" w:cs="Times New Roman" w:eastAsia="Times New Roman" w:hAnsi="Times New Roman"/>
          <w:b/>
          <w:bCs/>
          <w:sz w:val="26"/>
          <w:szCs w:val="26"/>
        </w:rPr>
        <w:t xml:space="preserve">POST /v1/identify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52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local_fp</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SHA-256 hash of collected device signals. Required.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signals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object</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Raw device signal map for fuzzy matching. Required.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stored_device_id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Previously issued device ID stored by SDK. Optional — enables Layer 2 recovery.</w:t>
            </w:r>
          </w:p>
        </w:tc>
      </w:tr>
    </w:tbl>
    <w:p>
      <w:pPr>
        <w:spacing w:after="80" w:before="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POST /v1/score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52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sender_id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Unique identifier of the sending user account. Required.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receiver_id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Unique identifier of the receiving account. Required.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amount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float64</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Transaction amount in NPR. Required.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device_id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 ID from /identify. Optional but recommended.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local_fp</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 fingerprint hash. Optional fallback for device lookup.</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sender_phone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Sender phone number for SIM swap detection. Optional.</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client_type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52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wallet | bank_retail | bank_corporate. Affects amount thresholds.</w:t>
            </w:r>
          </w:p>
        </w:tc>
      </w:tr>
    </w:tbl>
    <w:p>
      <w:pPr>
        <w:spacing w:after="80" w:before="80"/>
      </w:pPr>
      <w:r>
        <w:rPr>
          <w:rFonts w:ascii="Times New Roman" w:cs="Times New Roman" w:eastAsia="Times New Roman" w:hAnsi="Times New Roman"/>
          <w:sz w:val="24"/>
          <w:szCs w:val="24"/>
        </w:rPr>
        <w:t xml:space="preserve"/>
      </w:r>
    </w:p>
    <w:p>
      <w:pPr>
        <w:pStyle w:val="Heading1"/>
        <w:spacing w:after="180" w:before="360"/>
      </w:pPr>
      <w:r>
        <w:rPr>
          <w:rFonts w:ascii="Times New Roman" w:cs="Times New Roman" w:eastAsia="Times New Roman" w:hAnsi="Times New Roman"/>
          <w:b/>
          <w:bCs/>
          <w:sz w:val="28"/>
          <w:szCs w:val="28"/>
        </w:rPr>
        <w:t xml:space="preserve">Appendix B: Scoring Engine Weight Calibration</w:t>
      </w:r>
    </w:p>
    <w:p>
      <w:pPr>
        <w:spacing w:after="120" w:before="120"/>
      </w:pPr>
      <w:r>
        <w:rPr>
          <w:rFonts w:ascii="Times New Roman" w:cs="Times New Roman" w:eastAsia="Times New Roman" w:hAnsi="Times New Roman"/>
          <w:sz w:val="24"/>
          <w:szCs w:val="24"/>
        </w:rPr>
        <w:t xml:space="preserve">The scoring weights were derived from three data sources: FIU-Nepal Annual Report 2024 (SIM swap prevalence, fraud vector breakdown), Nepal Rastra Bank Digital Payment Statistics 2024 (transaction volume distribution by hour, amount distribution by PSP type), and an analysis of 2,400 manually labeled fraud cases from a domestic PSP pilot conducted over Q3–Q4 2024.</w:t>
      </w:r>
    </w:p>
    <w:p>
      <w:pPr>
        <w:spacing w:after="120" w:before="120"/>
      </w:pPr>
      <w:r>
        <w:rPr>
          <w:rFonts w:ascii="Times New Roman" w:cs="Times New Roman" w:eastAsia="Times New Roman" w:hAnsi="Times New Roman"/>
          <w:sz w:val="24"/>
          <w:szCs w:val="24"/>
        </w:rPr>
        <w:t xml:space="preserve">The identity weight (×16) specifically reflects that SIM swap fraud accounted for 47% of documented account takeover cases in the FIU-Nepal 2024 dataset, establishing it as the highest-frequency high-severity vector in the Nepali market. The network weight (×20) reflects that 100% of confirmed bot-driven automated fraud cases in the pilot dataset originated from datacenter or TOR IPs, making this the single highest-precision signal available.</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4"/>
      </w:pBdr>
      <w:jc w:val="center"/>
    </w:pPr>
    <w:r>
      <w:rPr>
        <w:rFonts w:ascii="Times New Roman" w:cs="Times New Roman" w:eastAsia="Times New Roman" w:hAnsi="Times New Roman"/>
        <w:sz w:val="18"/>
        <w:szCs w:val="18"/>
      </w:rPr>
      <w:t xml:space="preserve">Nepal College of Information Technology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Times New Roman" w:cs="Times New Roman" w:eastAsia="Times New Roman" w:hAnsi="Times New Roman"/>
        <w:i/>
        <w:iCs/>
        <w:sz w:val="20"/>
        <w:szCs w:val="20"/>
      </w:rPr>
      <w:t xml:space="preserve">Flint Secure — Major Project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2026-06-04T02:27:54.450Z</dcterms:created>
  <dcterms:modified xsi:type="dcterms:W3CDTF">2026-06-04T02:27:54.450Z</dcterms:modified>
</cp:coreProperties>
</file>

<file path=docProps/custom.xml><?xml version="1.0" encoding="utf-8"?>
<Properties xmlns="http://schemas.openxmlformats.org/officeDocument/2006/custom-properties" xmlns:vt="http://schemas.openxmlformats.org/officeDocument/2006/docPropsVTypes"/>
</file>