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RDS Pricing Information:</w:t>
      </w:r>
    </w:p>
    <w:p w:rsidR="00000000" w:rsidDel="00000000" w:rsidP="00000000" w:rsidRDefault="00000000" w:rsidRPr="00000000" w14:paraId="00000002">
      <w:pPr>
        <w:spacing w:line="276" w:lineRule="auto"/>
        <w:rPr/>
      </w:pPr>
      <w:r w:rsidDel="00000000" w:rsidR="00000000" w:rsidRPr="00000000">
        <w:rPr>
          <w:rtl w:val="0"/>
        </w:rPr>
        <w:t xml:space="preserve">Prepared: 01/03/2022, WOD</w:t>
      </w:r>
    </w:p>
    <w:p w:rsidR="00000000" w:rsidDel="00000000" w:rsidP="00000000" w:rsidRDefault="00000000" w:rsidRPr="00000000" w14:paraId="00000003">
      <w:pPr>
        <w:spacing w:line="276" w:lineRule="auto"/>
        <w:rPr>
          <w:b w:val="1"/>
          <w:u w:val="single"/>
        </w:rPr>
      </w:pPr>
      <w:r w:rsidDel="00000000" w:rsidR="00000000" w:rsidRPr="00000000">
        <w:rPr>
          <w:rtl w:val="0"/>
        </w:rPr>
        <w:t xml:space="preserve">Revisions: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*Do not think anything is affected, so we should be grand for our usage purposes.  But just added information just in case.</w:t>
      </w:r>
    </w:p>
    <w:p w:rsidR="00000000" w:rsidDel="00000000" w:rsidP="00000000" w:rsidRDefault="00000000" w:rsidRPr="00000000" w14:paraId="00000005">
      <w:pPr>
        <w:rPr>
          <w:b w:val="1"/>
          <w:highlight w:val="yellow"/>
        </w:rPr>
      </w:pPr>
      <w:r w:rsidDel="00000000" w:rsidR="00000000" w:rsidRPr="00000000">
        <w:rPr>
          <w:b w:val="1"/>
          <w:highlight w:val="yellow"/>
          <w:rtl w:val="0"/>
        </w:rPr>
        <w:t xml:space="preserve">Just remember to delete backup after termination of DBs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Estimating Amazon RDS costs</w:t>
      </w:r>
    </w:p>
    <w:p w:rsidR="00000000" w:rsidDel="00000000" w:rsidP="00000000" w:rsidRDefault="00000000" w:rsidRPr="00000000" w14:paraId="00000008">
      <w:pPr>
        <w:rPr/>
      </w:pPr>
      <w:r w:rsidDel="00000000" w:rsidR="00000000" w:rsidRPr="00000000">
        <w:rPr>
          <w:rtl w:val="0"/>
        </w:rPr>
        <w:t xml:space="preserve">The factors that drive the costs of Amazon RDS include: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Clock hours of server time: Resources incur charges when they are running—for example, from the time you launch a DB instance until you terminate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Database characteristics: The physical capacity of the database you choose will affect how much you are charged. Database characteristics vary depending on the database engine, size, and memory 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Database purchase type: When you use On-Demand DB Instances, you pay for compute capacity for each hour your DB Instance runs, with no required minimum commitments. With Reserved DB Instances, you can make a low, one-time, upfront payment for each DB Instance you wish to reserve for a 1- or 3-year term.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Number of database instances: With Amazon RDS, you can provision multiple DB instances to handle peak loads.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Provisioned storage: There is no additional charge for backup storage of up to 100 percent of your provisioned database storage for an active DB Instance. After the DB Instance is terminated, backup storage is billed per GB per month.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Additional storage: The amount of backup storage in addition to the provisioned storage amount is billed per GB per month.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Long Term Retention: Long Term Retention is priced per vCPU per month for each database instance in which it is enabled. The price depends on the RDS instance type used by your database, and may vary by region. If Long Term Retention is turned off, performance data older than 7 days is deleted.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API Requests: The API free tier includes all calls from the Performance Insights dashboard as well as 1 million calls outside of the Performance Insights dashboard. API requests outside of the Performance Insights free tier are charged at $0.01 per 1,000 requests.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Deployment type: You can deploy your DB Instance to a single Availability Zone (analogous to a standalone data center) or multiple Availability Zones (analogous to a secondary data center for enhanced availability and durability). Storage and I/O charges vary, depending on the number of Availability Zones you deploy 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 transfer: Inbound data transfer is free, and outbound data transfer costs are tiered.</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