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</w:t>
      </w:r>
      <w:r>
        <w:rPr>
          <w:rFonts w:hint="eastAsia"/>
          <w:b/>
          <w:sz w:val="32"/>
          <w:szCs w:val="32"/>
          <w:lang w:val="en-US" w:eastAsia="zh-CN"/>
        </w:rPr>
        <w:t>分光计的调整和使用</w:t>
      </w:r>
      <w:r>
        <w:rPr>
          <w:rFonts w:hint="eastAsia"/>
          <w:b/>
          <w:sz w:val="32"/>
          <w:szCs w:val="32"/>
        </w:rPr>
        <w:t>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</w:t>
      </w:r>
      <w:r>
        <w:rPr>
          <w:rFonts w:hint="eastAsia"/>
          <w:b/>
          <w:sz w:val="32"/>
          <w:szCs w:val="32"/>
          <w:lang w:val="en-US" w:eastAsia="zh-CN"/>
        </w:rPr>
        <w:t>屈乐乐</w:t>
      </w:r>
      <w:r>
        <w:rPr>
          <w:rFonts w:hint="eastAsia"/>
          <w:b/>
          <w:sz w:val="32"/>
          <w:szCs w:val="32"/>
        </w:rPr>
        <w:t>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__年__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__月__</w:t>
      </w:r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二</w:t>
      </w:r>
      <w:r>
        <w:rPr>
          <w:rFonts w:hint="eastAsia"/>
          <w:b/>
          <w:sz w:val="28"/>
          <w:szCs w:val="28"/>
        </w:rPr>
        <w:t>__下午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5FDF9A8D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光计是一种精密的光学仪器，主要用于测量光线的偏转角，进而间接测定光波波长、折射率等物理量。本实验通过调整和使用分光计，测量三棱镜的顶角。实验原理基于反射法和自准直法：反射法通过测量三棱镜两反射面的光线夹角，利用几何关系计算顶角；自准直法则通过调节望远镜使亮十字像与叉丝重合，确保望远镜光轴与反射镜垂直。实验方法包括分光计的粗调、望远镜调焦至无穷远、调整光轴与中心转轴垂直，以及平行光管的校准。最终，通过测量左右反射光线的角位置，代入公式计算三棱镜顶角。实验的关键在于仪器的精确调整，以确保测量结果的准确性。</w:t>
      </w:r>
    </w:p>
    <w:p w14:paraId="1D795785">
      <w:pPr>
        <w:jc w:val="left"/>
        <w:rPr>
          <w:rFonts w:ascii="宋体" w:hAnsi="宋体"/>
          <w:sz w:val="24"/>
          <w:szCs w:val="24"/>
        </w:rPr>
      </w:pPr>
    </w:p>
    <w:p w14:paraId="5A2EC743">
      <w:pPr>
        <w:jc w:val="left"/>
        <w:rPr>
          <w:rFonts w:ascii="宋体" w:hAnsi="宋体"/>
          <w:sz w:val="24"/>
          <w:szCs w:val="24"/>
        </w:rPr>
      </w:pPr>
    </w:p>
    <w:p w14:paraId="585A5BE0">
      <w:pPr>
        <w:jc w:val="left"/>
        <w:rPr>
          <w:rFonts w:ascii="宋体" w:hAnsi="宋体"/>
          <w:sz w:val="24"/>
          <w:szCs w:val="24"/>
        </w:rPr>
      </w:pPr>
    </w:p>
    <w:p w14:paraId="3293FBD8">
      <w:pPr>
        <w:jc w:val="left"/>
        <w:rPr>
          <w:rFonts w:ascii="宋体" w:hAnsi="宋体"/>
          <w:sz w:val="24"/>
          <w:szCs w:val="24"/>
        </w:rPr>
      </w:pPr>
    </w:p>
    <w:p w14:paraId="69B191C3">
      <w:pPr>
        <w:jc w:val="left"/>
        <w:rPr>
          <w:rFonts w:ascii="宋体" w:hAnsi="宋体"/>
          <w:sz w:val="24"/>
          <w:szCs w:val="24"/>
        </w:rPr>
      </w:pPr>
    </w:p>
    <w:p w14:paraId="6410BCA7">
      <w:pPr>
        <w:jc w:val="left"/>
        <w:rPr>
          <w:rFonts w:ascii="宋体" w:hAnsi="宋体"/>
          <w:sz w:val="24"/>
          <w:szCs w:val="24"/>
        </w:rPr>
      </w:pPr>
    </w:p>
    <w:p w14:paraId="4821DAC4">
      <w:pPr>
        <w:pStyle w:val="13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144F9ACB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分光计的结构与功能</w:t>
      </w:r>
      <w:r>
        <w:rPr>
          <w:rFonts w:ascii="宋体" w:hAnsi="宋体" w:eastAsia="宋体" w:cs="宋体"/>
          <w:sz w:val="24"/>
          <w:szCs w:val="24"/>
        </w:rPr>
        <w:t xml:space="preserve">：熟悉望远镜、平行光管、载物平台和读数装置的作用。 </w:t>
      </w:r>
    </w:p>
    <w:p w14:paraId="4B3CF9F3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仪器的调整方法</w:t>
      </w:r>
      <w:r>
        <w:rPr>
          <w:rFonts w:ascii="宋体" w:hAnsi="宋体" w:eastAsia="宋体" w:cs="宋体"/>
          <w:sz w:val="24"/>
          <w:szCs w:val="24"/>
        </w:rPr>
        <w:t xml:space="preserve">：掌握望远镜调焦无穷远、光轴与中心转轴垂直的调节步骤（如二分之一调节法）。 </w:t>
      </w:r>
    </w:p>
    <w:p w14:paraId="2C74C372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测量原理与操作</w:t>
      </w:r>
      <w:r>
        <w:rPr>
          <w:rFonts w:ascii="宋体" w:hAnsi="宋体" w:eastAsia="宋体" w:cs="宋体"/>
          <w:sz w:val="24"/>
          <w:szCs w:val="24"/>
        </w:rPr>
        <w:t xml:space="preserve">：理解反射法和自准直法的原理，并能正确测量三棱镜顶角。 </w:t>
      </w:r>
    </w:p>
    <w:p w14:paraId="69D0ECC2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误差控制</w:t>
      </w:r>
      <w:r>
        <w:rPr>
          <w:rFonts w:ascii="宋体" w:hAnsi="宋体" w:eastAsia="宋体" w:cs="宋体"/>
          <w:sz w:val="24"/>
          <w:szCs w:val="24"/>
        </w:rPr>
        <w:t>：通过双游标读数取平均值，消除偏心差，提高测量精度。</w:t>
      </w:r>
    </w:p>
    <w:p w14:paraId="783A48E3">
      <w:pPr>
        <w:jc w:val="left"/>
        <w:rPr>
          <w:rFonts w:ascii="宋体" w:hAnsi="宋体"/>
          <w:sz w:val="24"/>
          <w:szCs w:val="24"/>
        </w:rPr>
      </w:pPr>
    </w:p>
    <w:p w14:paraId="7CEC385C">
      <w:pPr>
        <w:jc w:val="left"/>
        <w:rPr>
          <w:rFonts w:ascii="宋体" w:hAnsi="宋体"/>
          <w:sz w:val="24"/>
          <w:szCs w:val="24"/>
        </w:rPr>
      </w:pPr>
    </w:p>
    <w:p w14:paraId="434ED5D7">
      <w:pPr>
        <w:jc w:val="left"/>
        <w:rPr>
          <w:rFonts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4CE485F4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仪器调节的复杂性</w:t>
      </w:r>
      <w:r>
        <w:rPr>
          <w:rFonts w:ascii="宋体" w:hAnsi="宋体" w:eastAsia="宋体" w:cs="宋体"/>
          <w:sz w:val="24"/>
          <w:szCs w:val="24"/>
        </w:rPr>
        <w:t xml:space="preserve">：需逐步调整望远镜、载物平台和平行光管，确保三者光轴与中心转轴垂直，步骤繁琐且需耐心。 </w:t>
      </w:r>
    </w:p>
    <w:p w14:paraId="27D0D4A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亮十字像的捕捉与对齐</w:t>
      </w:r>
      <w:r>
        <w:rPr>
          <w:rFonts w:ascii="宋体" w:hAnsi="宋体" w:eastAsia="宋体" w:cs="宋体"/>
          <w:sz w:val="24"/>
          <w:szCs w:val="24"/>
        </w:rPr>
        <w:t xml:space="preserve">：反射镜两面反射的亮十字像需与叉丝严格重合，微调过程中易因操作不当导致像偏移或消失。 </w:t>
      </w:r>
    </w:p>
    <w:p w14:paraId="64BF446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三棱镜位置的把控</w:t>
      </w:r>
      <w:r>
        <w:rPr>
          <w:rFonts w:ascii="宋体" w:hAnsi="宋体" w:eastAsia="宋体" w:cs="宋体"/>
          <w:sz w:val="24"/>
          <w:szCs w:val="24"/>
        </w:rPr>
        <w:t xml:space="preserve">：顶角需接近平台中心偏上，否则反射光可能无法进入望远镜视场，影响测量。 </w:t>
      </w:r>
    </w:p>
    <w:p w14:paraId="02A6C3A6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读数精度要求高</w:t>
      </w:r>
      <w:r>
        <w:rPr>
          <w:rFonts w:ascii="宋体" w:hAnsi="宋体" w:eastAsia="宋体" w:cs="宋体"/>
          <w:sz w:val="24"/>
          <w:szCs w:val="24"/>
        </w:rPr>
        <w:t>：角游标的最小分度为30″，需准确对齐刻线并计算，避免人为误差。</w:t>
      </w:r>
    </w:p>
    <w:p w14:paraId="0379B000">
      <w:pPr>
        <w:jc w:val="left"/>
        <w:rPr>
          <w:rFonts w:ascii="宋体" w:hAnsi="宋体"/>
          <w:sz w:val="24"/>
          <w:szCs w:val="24"/>
        </w:rPr>
      </w:pPr>
    </w:p>
    <w:p w14:paraId="79C10D21">
      <w:pPr>
        <w:jc w:val="left"/>
        <w:rPr>
          <w:rFonts w:ascii="宋体" w:hAnsi="宋体"/>
          <w:sz w:val="24"/>
          <w:szCs w:val="24"/>
        </w:rPr>
      </w:pPr>
    </w:p>
    <w:p w14:paraId="7872207B">
      <w:pPr>
        <w:jc w:val="left"/>
        <w:rPr>
          <w:rFonts w:ascii="宋体" w:hAnsi="宋体"/>
          <w:sz w:val="24"/>
          <w:szCs w:val="24"/>
        </w:rPr>
      </w:pPr>
    </w:p>
    <w:p w14:paraId="231F955F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4941422F">
      <w:pPr>
        <w:jc w:val="left"/>
        <w:rPr>
          <w:sz w:val="24"/>
          <w:szCs w:val="24"/>
        </w:rPr>
      </w:pPr>
    </w:p>
    <w:p w14:paraId="6DE98A1B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5DE5D6BD">
      <w:pPr>
        <w:jc w:val="left"/>
        <w:rPr>
          <w:sz w:val="24"/>
          <w:szCs w:val="24"/>
        </w:rPr>
      </w:pPr>
    </w:p>
    <w:tbl>
      <w:tblPr>
        <w:tblStyle w:val="6"/>
        <w:tblW w:w="100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"/>
        <w:gridCol w:w="1245"/>
        <w:gridCol w:w="1255"/>
        <w:gridCol w:w="1233"/>
        <w:gridCol w:w="1145"/>
        <w:gridCol w:w="1367"/>
        <w:gridCol w:w="1433"/>
        <w:gridCol w:w="1422"/>
      </w:tblGrid>
      <w:tr w14:paraId="19A29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42" w:type="dxa"/>
            <w:vMerge w:val="restart"/>
          </w:tcPr>
          <w:p w14:paraId="2D03A924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实验次数</w:t>
            </w:r>
          </w:p>
        </w:tc>
        <w:tc>
          <w:tcPr>
            <w:tcW w:w="2500" w:type="dxa"/>
            <w:gridSpan w:val="2"/>
          </w:tcPr>
          <w:p w14:paraId="12322AF4">
            <w:pPr>
              <w:ind w:firstLine="960" w:firstLineChars="400"/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左  </w:t>
            </w:r>
          </w:p>
        </w:tc>
        <w:tc>
          <w:tcPr>
            <w:tcW w:w="2378" w:type="dxa"/>
            <w:gridSpan w:val="2"/>
          </w:tcPr>
          <w:p w14:paraId="69A7EB14">
            <w:pPr>
              <w:ind w:firstLine="960" w:firstLineChars="4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右</w:t>
            </w:r>
          </w:p>
        </w:tc>
        <w:tc>
          <w:tcPr>
            <w:tcW w:w="1367" w:type="dxa"/>
            <w:vMerge w:val="restart"/>
          </w:tcPr>
          <w:p w14:paraId="66C513C8">
            <w:pPr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|左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Ⅰ</w:t>
            </w:r>
            <w:r>
              <w:rPr>
                <w:rFonts w:ascii="宋体" w:hAnsi="宋体" w:eastAsia="宋体" w:cs="宋体"/>
                <w:sz w:val="24"/>
                <w:szCs w:val="24"/>
              </w:rPr>
              <w:t>−右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Ⅰ</w:t>
            </w:r>
            <w:r>
              <w:rPr>
                <w:rFonts w:ascii="宋体" w:hAnsi="宋体" w:eastAsia="宋体" w:cs="宋体"/>
                <w:sz w:val="24"/>
                <w:szCs w:val="24"/>
              </w:rPr>
              <w:t>|</w:t>
            </w:r>
          </w:p>
        </w:tc>
        <w:tc>
          <w:tcPr>
            <w:tcW w:w="1433" w:type="dxa"/>
            <w:vMerge w:val="restart"/>
          </w:tcPr>
          <w:p w14:paraId="2C2164B8">
            <w:pPr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|左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Ⅱ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−右</w:t>
            </w:r>
            <w:r>
              <w:rPr>
                <w:rFonts w:ascii="宋体" w:hAnsi="宋体" w:eastAsia="宋体" w:cs="宋体"/>
                <w:sz w:val="24"/>
                <w:szCs w:val="24"/>
                <w:vertAlign w:val="subscript"/>
              </w:rPr>
              <w:t>Ⅱ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|</w:t>
            </w:r>
          </w:p>
        </w:tc>
        <w:tc>
          <w:tcPr>
            <w:tcW w:w="1422" w:type="dxa"/>
            <w:vMerge w:val="restart"/>
          </w:tcPr>
          <w:p w14:paraId="4BFCE7F8">
            <w:pPr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∠A(即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x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sz w:val="24"/>
                <w:szCs w:val="24"/>
              </w:rPr>
              <w:t>)</w:t>
            </w:r>
          </w:p>
        </w:tc>
      </w:tr>
      <w:tr w14:paraId="471B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42" w:type="dxa"/>
            <w:vMerge w:val="continue"/>
          </w:tcPr>
          <w:p w14:paraId="0F19808C">
            <w:pPr>
              <w:jc w:val="left"/>
            </w:pPr>
          </w:p>
        </w:tc>
        <w:tc>
          <w:tcPr>
            <w:tcW w:w="1245" w:type="dxa"/>
          </w:tcPr>
          <w:p w14:paraId="604B4DDB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Ⅰ</w:t>
            </w:r>
          </w:p>
        </w:tc>
        <w:tc>
          <w:tcPr>
            <w:tcW w:w="1255" w:type="dxa"/>
          </w:tcPr>
          <w:p w14:paraId="6E17E94A">
            <w:pPr>
              <w:ind w:firstLine="240" w:firstLineChars="100"/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Ⅱ</w:t>
            </w:r>
          </w:p>
        </w:tc>
        <w:tc>
          <w:tcPr>
            <w:tcW w:w="1233" w:type="dxa"/>
          </w:tcPr>
          <w:p w14:paraId="5607F16E">
            <w:pPr>
              <w:ind w:firstLine="240" w:firstLineChars="10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Ⅰ</w:t>
            </w:r>
          </w:p>
        </w:tc>
        <w:tc>
          <w:tcPr>
            <w:tcW w:w="1145" w:type="dxa"/>
          </w:tcPr>
          <w:p w14:paraId="50890242">
            <w:pPr>
              <w:ind w:firstLine="240" w:firstLineChars="100"/>
              <w:jc w:val="left"/>
              <w:rPr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Ⅱ</w:t>
            </w:r>
          </w:p>
        </w:tc>
        <w:tc>
          <w:tcPr>
            <w:tcW w:w="1367" w:type="dxa"/>
            <w:vMerge w:val="continue"/>
          </w:tcPr>
          <w:p w14:paraId="5A5074A2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33" w:type="dxa"/>
            <w:vMerge w:val="continue"/>
          </w:tcPr>
          <w:p w14:paraId="0E4B96C7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  <w:tc>
          <w:tcPr>
            <w:tcW w:w="1422" w:type="dxa"/>
            <w:vMerge w:val="continue"/>
          </w:tcPr>
          <w:p w14:paraId="0FCF2A35">
            <w:pPr>
              <w:jc w:val="left"/>
              <w:rPr>
                <w:sz w:val="24"/>
                <w:szCs w:val="24"/>
                <w:vertAlign w:val="baseline"/>
              </w:rPr>
            </w:pPr>
          </w:p>
        </w:tc>
      </w:tr>
      <w:tr w14:paraId="5E6B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942" w:type="dxa"/>
          </w:tcPr>
          <w:p w14:paraId="391DBDC7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45" w:type="dxa"/>
          </w:tcPr>
          <w:p w14:paraId="08B0BF87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306°20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611B8B4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126°15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50B040E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186°12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17BFC0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6°15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19209F9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33" w:type="dxa"/>
          </w:tcPr>
          <w:p w14:paraId="3A5A266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22" w:type="dxa"/>
          </w:tcPr>
          <w:p w14:paraId="2C8361F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60°1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0F53F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12975667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45" w:type="dxa"/>
          </w:tcPr>
          <w:p w14:paraId="6CA4822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320°40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210ECDF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140°35’</w:t>
            </w:r>
          </w:p>
        </w:tc>
        <w:tc>
          <w:tcPr>
            <w:tcW w:w="1233" w:type="dxa"/>
          </w:tcPr>
          <w:p w14:paraId="79D5A56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200°39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18C263C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20°42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18AE277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33" w:type="dxa"/>
          </w:tcPr>
          <w:p w14:paraId="789112A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22" w:type="dxa"/>
          </w:tcPr>
          <w:p w14:paraId="4736258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738AF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10B8864F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45" w:type="dxa"/>
          </w:tcPr>
          <w:p w14:paraId="69AD5415">
            <w:pPr>
              <w:jc w:val="left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315°00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69DFA90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134°55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5C25C53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194°59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5EBDABA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15°00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69344FA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33" w:type="dxa"/>
          </w:tcPr>
          <w:p w14:paraId="28C630A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22" w:type="dxa"/>
          </w:tcPr>
          <w:p w14:paraId="281F3D7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0E5A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42" w:type="dxa"/>
          </w:tcPr>
          <w:p w14:paraId="7285EA2E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45" w:type="dxa"/>
          </w:tcPr>
          <w:p w14:paraId="2531A69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323°33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7F70C44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143°31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6E52D0E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203°35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26DD7BB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23°37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4062996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33" w:type="dxa"/>
          </w:tcPr>
          <w:p w14:paraId="708CCCD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22" w:type="dxa"/>
          </w:tcPr>
          <w:p w14:paraId="535BF99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345A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1DE95B69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245" w:type="dxa"/>
          </w:tcPr>
          <w:p w14:paraId="3AA93E1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321°00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336E909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140°55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4FE130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201°00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1EA96D8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21°00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3FDF29D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120°00’</w:t>
            </w:r>
          </w:p>
        </w:tc>
        <w:tc>
          <w:tcPr>
            <w:tcW w:w="1433" w:type="dxa"/>
          </w:tcPr>
          <w:p w14:paraId="56A312D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22" w:type="dxa"/>
          </w:tcPr>
          <w:p w14:paraId="37FCD84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  <w:tr w14:paraId="7656A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" w:type="dxa"/>
          </w:tcPr>
          <w:p w14:paraId="3A65CA99">
            <w:pPr>
              <w:jc w:val="left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245" w:type="dxa"/>
          </w:tcPr>
          <w:p w14:paraId="7BA8134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325°50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55" w:type="dxa"/>
          </w:tcPr>
          <w:p w14:paraId="735C61F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145°47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233" w:type="dxa"/>
          </w:tcPr>
          <w:p w14:paraId="4261BD8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205°51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145" w:type="dxa"/>
          </w:tcPr>
          <w:p w14:paraId="7AEEFFB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25°52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367" w:type="dxa"/>
          </w:tcPr>
          <w:p w14:paraId="1E094F7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119°59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33" w:type="dxa"/>
          </w:tcPr>
          <w:p w14:paraId="6F5F078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119°55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  <w:tc>
          <w:tcPr>
            <w:tcW w:w="1422" w:type="dxa"/>
          </w:tcPr>
          <w:p w14:paraId="5D40EAA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59°58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’</w:t>
            </w:r>
          </w:p>
        </w:tc>
      </w:tr>
    </w:tbl>
    <w:p w14:paraId="243E9EDF">
      <w:pPr>
        <w:jc w:val="left"/>
        <w:rPr>
          <w:sz w:val="24"/>
          <w:szCs w:val="24"/>
        </w:rPr>
      </w:pPr>
    </w:p>
    <w:p w14:paraId="6CC8126C">
      <w:pPr>
        <w:jc w:val="left"/>
        <w:rPr>
          <w:sz w:val="24"/>
          <w:szCs w:val="24"/>
        </w:rPr>
      </w:pPr>
    </w:p>
    <w:p w14:paraId="4EEA109E">
      <w:pPr>
        <w:jc w:val="left"/>
        <w:rPr>
          <w:sz w:val="24"/>
          <w:szCs w:val="24"/>
        </w:rPr>
      </w:pPr>
    </w:p>
    <w:p w14:paraId="0426AE6A">
      <w:pPr>
        <w:jc w:val="left"/>
        <w:rPr>
          <w:sz w:val="24"/>
          <w:szCs w:val="24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133060A7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∠A的平均值=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cs="宋体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m:t>60°1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’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+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m:t>59°58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+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/>
              </w:rPr>
              <m:t xml:space="preserve"> 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m:t>59°59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’+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/>
              </w:rPr>
              <m:t xml:space="preserve"> 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m:t>59°58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’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/>
              </w:rPr>
              <m:t xml:space="preserve"> 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>+</m:t>
            </m:r>
            <m:r>
              <m:rPr>
                <m:sty m:val="p"/>
              </m:r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m:t>59°59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’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/>
              </w:rPr>
              <m:t xml:space="preserve"> </m:t>
            </m:r>
            <m:r>
              <m:rPr>
                <m:sty m:val="p"/>
              </m:rPr>
              <m:t xml:space="preserve"> </m:t>
            </m:r>
            <m:r>
              <m:rPr>
                <m:sty m:val="p"/>
              </m:rPr>
              <w:rPr>
                <w:rFonts w:hint="default"/>
                <w:lang w:val="en-US" w:eastAsia="zh-CN"/>
              </w:rPr>
              <m:t>+</m:t>
            </m:r>
            <m:r>
              <m:rPr>
                <m:sty m:val="p"/>
              </m:r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m:t>59°58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m:t>’</m:t>
            </m:r>
            <m:r>
              <m:rPr>
                <m:sty m:val="p"/>
              </m:rPr>
              <w:rPr>
                <w:rFonts w:hint="default"/>
                <w:sz w:val="24"/>
                <w:szCs w:val="24"/>
                <w:vertAlign w:val="baseline"/>
                <w:lang w:val="en-US"/>
              </w:rPr>
              <m:t xml:space="preserve"> </m:t>
            </m:r>
            <m:r>
              <m:rPr>
                <m:sty m:val="p"/>
              </m:rPr>
              <m:t xml:space="preserve"> 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6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ascii="宋体" w:hAnsi="宋体" w:eastAsia="宋体" w:cs="宋体"/>
          <w:sz w:val="24"/>
          <w:szCs w:val="24"/>
        </w:rPr>
        <w:t xml:space="preserve"> 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59°59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20F11E72">
      <w:pPr>
        <w:jc w:val="left"/>
        <w:rPr>
          <w:rFonts w:hint="default" w:ascii="宋体" w:hAnsi="宋体" w:cs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标准差;s=</w:t>
      </w:r>
      <m:oMath>
        <m:r>
          <m:rPr>
            <m:sty m:val="p"/>
          </m:rPr>
          <w:rPr>
            <w:rFonts w:hint="default" w:ascii="Cambria Math" w:hAnsi="宋体" w:eastAsia="宋体" w:cs="宋体"/>
            <w:sz w:val="24"/>
            <w:szCs w:val="24"/>
            <w:lang w:val="en-US" w:eastAsia="zh-CN"/>
          </w:rPr>
          <m:t xml:space="preserve"> </m:t>
        </m:r>
        <m:rad>
          <m:radPr>
            <m:degHide m:val="1"/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radPr>
          <m:deg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g>
          <m:e>
            <m:box>
              <m:box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n−1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i=1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(xi−</m:t>
                    </m:r>
                    <m:acc>
                      <m:accPr>
                        <m:chr m:val="̅"/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)</m:t>
                    </m:r>
                    <m:ctrlPr>
                      <w:rPr>
                        <w:rFonts w:ascii="Cambria Math" w:hAnsi="Cambria Math" w:cs="宋体"/>
                        <w:i/>
                        <w:sz w:val="24"/>
                        <w:szCs w:val="24"/>
                        <w:lang w:val="en-US"/>
                      </w:rPr>
                    </m:ctrlPr>
                  </m:e>
                </m:nary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box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e>
        </m:rad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=1.17</w:t>
      </w:r>
      <w:r>
        <w:rPr>
          <w:rFonts w:hint="default" w:hAnsi="Cambria Math" w:cs="宋体"/>
          <w:i w:val="0"/>
          <w:sz w:val="24"/>
          <w:szCs w:val="24"/>
          <w:lang w:val="en-US" w:eastAsia="zh-CN"/>
        </w:rPr>
        <w:t>’</w:t>
      </w:r>
    </w:p>
    <w:p w14:paraId="2408D997">
      <w:pPr>
        <w:jc w:val="left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A类不确定度：</w:t>
      </w:r>
      <w:r>
        <w:rPr>
          <w:rFonts w:ascii="宋体" w:hAnsi="宋体" w:eastAsia="宋体" w:cs="宋体"/>
          <w:sz w:val="24"/>
          <w:szCs w:val="24"/>
        </w:rPr>
        <w:t>u</w:t>
      </w:r>
      <w:r>
        <w:rPr>
          <w:rFonts w:ascii="宋体" w:hAnsi="宋体" w:eastAsia="宋体" w:cs="宋体"/>
          <w:sz w:val="24"/>
          <w:szCs w:val="24"/>
          <w:vertAlign w:val="subscript"/>
        </w:rPr>
        <w:t>A</w:t>
      </w:r>
      <w:r>
        <w:rPr>
          <w:rFonts w:ascii="宋体" w:hAnsi="宋体" w:eastAsia="宋体" w:cs="宋体"/>
          <w:sz w:val="24"/>
          <w:szCs w:val="24"/>
        </w:rPr>
        <w:t>=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s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n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0.48</w:t>
      </w:r>
      <w:r>
        <w:rPr>
          <w:rFonts w:hint="default" w:hAnsi="Cambria Math" w:cs="宋体"/>
          <w:i w:val="0"/>
          <w:sz w:val="24"/>
          <w:szCs w:val="24"/>
          <w:lang w:val="en-US" w:eastAsia="zh-CN"/>
        </w:rPr>
        <w:t>’</w:t>
      </w:r>
    </w:p>
    <w:p w14:paraId="3F8179BF">
      <w:pPr>
        <w:jc w:val="left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>B类不确定度：u</w:t>
      </w:r>
      <w:r>
        <w:rPr>
          <w:rFonts w:hint="eastAsia" w:hAnsi="Cambria Math" w:cs="宋体"/>
          <w:i w:val="0"/>
          <w:sz w:val="24"/>
          <w:szCs w:val="24"/>
          <w:vertAlign w:val="subscript"/>
          <w:lang w:val="en-US" w:eastAsia="zh-CN"/>
        </w:rPr>
        <w:t>B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</w:t>
      </w:r>
      <m:oMath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ascii="Cambria Math" w:hAnsi="Cambria Math" w:cs="宋体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eastAsia" w:ascii="Cambria Math" w:hAnsi="Cambria Math" w:cs="宋体"/>
                <w:sz w:val="24"/>
                <w:szCs w:val="24"/>
                <w:lang w:val="en-US" w:eastAsia="zh-CN"/>
              </w:rPr>
              <m:t>仪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radPr>
              <m:deg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deg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rad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0.58’</w:t>
      </w:r>
    </w:p>
    <w:p w14:paraId="34B3AAE9">
      <w:pPr>
        <w:jc w:val="left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总不确定度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u= </w:t>
      </w:r>
      <m:oMath>
        <m:rad>
          <m:radPr>
            <m:degHide m:val="1"/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radPr>
          <m:deg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g>
          <m:e>
            <m:sSup>
              <m:sSup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宋体" w:hAnsi="宋体" w:eastAsia="宋体" w:cs="宋体"/>
                    <w:sz w:val="24"/>
                    <w:szCs w:val="24"/>
                  </w:rPr>
                  <m:t>u</m:t>
                </m:r>
                <m:r>
                  <m:rPr>
                    <m:sty m:val="p"/>
                  </m:rPr>
                  <w:rPr>
                    <w:rFonts w:ascii="宋体" w:hAnsi="宋体" w:eastAsia="宋体" w:cs="宋体"/>
                    <w:sz w:val="24"/>
                    <w:szCs w:val="24"/>
                    <w:vertAlign w:val="subscript"/>
                  </w:rPr>
                  <m:t>A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uB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e>
        </m:rad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= 0.75</w:t>
      </w:r>
      <w:r>
        <w:rPr>
          <w:rFonts w:hint="default" w:hAnsi="Cambria Math" w:cs="宋体"/>
          <w:i w:val="0"/>
          <w:sz w:val="24"/>
          <w:szCs w:val="24"/>
          <w:lang w:val="en-US" w:eastAsia="zh-CN"/>
        </w:rPr>
        <w:t>’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>=1</w:t>
      </w:r>
      <w:r>
        <w:rPr>
          <w:rFonts w:hint="default" w:hAnsi="Cambria Math" w:cs="宋体"/>
          <w:i w:val="0"/>
          <w:sz w:val="24"/>
          <w:szCs w:val="24"/>
          <w:lang w:val="en-US" w:eastAsia="zh-CN"/>
        </w:rPr>
        <w:t>’</w:t>
      </w:r>
    </w:p>
    <w:p w14:paraId="33253293">
      <w:pPr>
        <w:jc w:val="left"/>
        <w:rPr>
          <w:rFonts w:hint="eastAsia" w:hAnsi="Cambria Math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</w:t>
      </w:r>
      <w:r>
        <w:rPr>
          <w:rFonts w:ascii="宋体" w:hAnsi="宋体" w:eastAsia="宋体" w:cs="宋体"/>
          <w:sz w:val="24"/>
          <w:szCs w:val="24"/>
        </w:rPr>
        <w:t>∠A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=59°（59±1）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</w:p>
    <w:p w14:paraId="04B29150">
      <w:pPr>
        <w:jc w:val="left"/>
        <w:rPr>
          <w:rFonts w:ascii="宋体" w:hAnsi="宋体" w:eastAsia="宋体" w:cs="宋体"/>
          <w:sz w:val="24"/>
          <w:szCs w:val="24"/>
        </w:rPr>
      </w:pPr>
    </w:p>
    <w:p w14:paraId="495EEF3C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产生误差可能的原因有： </w:t>
      </w:r>
    </w:p>
    <w:p w14:paraId="6BF96E80">
      <w:pPr>
        <w:numPr>
          <w:ilvl w:val="0"/>
          <w:numId w:val="1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仪器调节不完善</w:t>
      </w:r>
    </w:p>
    <w:p w14:paraId="1007BF83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望远镜和平行光管未严格垂直主轴：若望远镜或平行光管的光轴未完全垂直于仪器主轴，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会导致反射像位置偏移，影响角度测量的准确性。 </w:t>
      </w:r>
    </w:p>
    <w:p w14:paraId="465E0785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载物台未水平：载物台未严格垂直于主轴时，三棱镜的反射面可能倾斜，使得反射光路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偏离理论路径，引入系统误差。 </w:t>
      </w:r>
    </w:p>
    <w:p w14:paraId="4C981B34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分划板叉丝与亮十字像未完全消除视差：存在视差会导致读数时对准不准确，尤其在微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调过程中容易产生偏差。 </w:t>
      </w:r>
    </w:p>
    <w:p w14:paraId="575ACDC5">
      <w:pPr>
        <w:numPr>
          <w:ilvl w:val="0"/>
          <w:numId w:val="1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环境因素</w:t>
      </w:r>
    </w:p>
    <w:p w14:paraId="749CC51F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外界震动或气流干扰：实验过程中若受到震动或气流影响，可能导致仪器轻微移动或光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路不稳定，影响读数。 </w:t>
      </w:r>
    </w:p>
    <w:p w14:paraId="7540FC16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温度变化：温度波动可能引起光学元件（如三棱镜）的微小形变或折射率变化，间接影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响测量结果。 </w:t>
      </w:r>
    </w:p>
    <w:p w14:paraId="0EB95F69">
      <w:pPr>
        <w:numPr>
          <w:ilvl w:val="0"/>
          <w:numId w:val="1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读数误差</w:t>
      </w:r>
    </w:p>
    <w:p w14:paraId="61D44E78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游标刻度对齐误差：分光计的游标最小分度为30″，人工对齐刻线时可能存在估读误差。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• 偏心差未完全消除：虽然采用双游标读数取平均值可减小偏心差，但若游标盘与主刻度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盘不同心，仍会残留部分误差。 </w:t>
      </w:r>
    </w:p>
    <w:p w14:paraId="78E1F7EE">
      <w:pPr>
        <w:numPr>
          <w:ilvl w:val="0"/>
          <w:numId w:val="1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操作不当</w:t>
      </w:r>
    </w:p>
    <w:p w14:paraId="68CEA7A0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三棱镜位置摆放不理想：若三棱镜顶角未接近平台中心偏上，可能导致反射光无法完全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进入望远镜视场，影响测量。 </w:t>
      </w:r>
    </w:p>
    <w:p w14:paraId="001FA93D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• 狭缝宽度调节不当：平行光管狭缝过宽或过窄会影响成像清晰度，从而干扰角度测量。 </w:t>
      </w:r>
    </w:p>
    <w:p w14:paraId="168EB3CA">
      <w:pPr>
        <w:numPr>
          <w:ilvl w:val="0"/>
          <w:numId w:val="1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数据处理误差</w:t>
      </w:r>
    </w:p>
    <w:p w14:paraId="79CD2C4D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数据修约与计算误差：在计算平均值和不确定度时，修约规则的应用或公式代入错误可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 xml:space="preserve">能放大误差。 </w:t>
      </w:r>
    </w:p>
    <w:p w14:paraId="74243FAF">
      <w:pPr>
        <w:numPr>
          <w:ilvl w:val="0"/>
          <w:numId w:val="0"/>
        </w:numPr>
        <w:ind w:leftChars="0"/>
        <w:jc w:val="left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⑥光学元件缺陷三棱镜表面磨损或污染：若光学面有划痕或指纹，会干扰反射光的强度和路径。</w:t>
      </w:r>
    </w:p>
    <w:p w14:paraId="75167765">
      <w:pPr>
        <w:jc w:val="left"/>
        <w:rPr>
          <w:rFonts w:hint="eastAsia"/>
          <w:sz w:val="28"/>
          <w:szCs w:val="28"/>
        </w:rPr>
      </w:pPr>
    </w:p>
    <w:p w14:paraId="542BAC5A">
      <w:pPr>
        <w:jc w:val="left"/>
        <w:rPr>
          <w:rFonts w:hint="eastAsia"/>
          <w:sz w:val="28"/>
          <w:szCs w:val="28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jc w:val="left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通过分光计测量三棱镜顶角，采用反射法和自准直法调节仪器，确保光路与主轴垂直。实验中发现，仪器调节（如望远镜调焦、载物台水平）对测量精度影响显著，微调时亮十字像易偏移，需耐心操作。数据表明，顶角测量结果接近理论值（60°），但存在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'的误差，主要源于游标读数估测、环境干扰及调节残余偏差。通过双游标取平均和替换异常数据，有效减小了系统误差。实验强调了精密光学仪器调节的严谨性，为后续光谱分析奠定了基础。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2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70FEA756">
      <w:pPr>
        <w:numPr>
          <w:ilvl w:val="0"/>
          <w:numId w:val="2"/>
        </w:num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测量三棱镜顶角时，棱镜摆放的位置应该怎么选？画出光路图</w:t>
      </w:r>
    </w:p>
    <w:p w14:paraId="788824CC">
      <w:pPr>
        <w:widowControl w:val="0"/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在测量三棱镜顶角时，应将三棱镜放置在分光计载物台的中心位置，使棱镜顶角位于旋转台转轴附近，以减少系统误差。调整棱镜位置，使入射光线与出射光线关于棱镜顶角的平分线对称，此时光线处于</w:t>
      </w:r>
      <w:r>
        <w:rPr>
          <w:rStyle w:val="8"/>
          <w:rFonts w:ascii="宋体" w:hAnsi="宋体" w:eastAsia="宋体" w:cs="宋体"/>
          <w:sz w:val="24"/>
          <w:szCs w:val="24"/>
        </w:rPr>
        <w:t>最小偏折状态</w:t>
      </w:r>
      <w:r>
        <w:rPr>
          <w:rFonts w:ascii="宋体" w:hAnsi="宋体" w:eastAsia="宋体" w:cs="宋体"/>
          <w:sz w:val="24"/>
          <w:szCs w:val="24"/>
        </w:rPr>
        <w:t>。在最小偏折条件下测量入射方向与出射方向对应的角度值，可以较为准确地计算三棱镜的顶角。该摆放方法有利于提高测量精度，并便于寻找和判断最小偏折位置。</w:t>
      </w:r>
    </w:p>
    <w:p w14:paraId="5AB6124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光路图:</w:t>
      </w:r>
    </w:p>
    <w:p w14:paraId="65604A7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03800" cy="3829050"/>
            <wp:effectExtent l="0" t="0" r="0" b="6350"/>
            <wp:docPr id="2" name="图片 2" descr="9754bca9aa6c1afaa85493bbf4163d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754bca9aa6c1afaa85493bbf4163d9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DB4AB12">
      <w:pPr>
        <w:numPr>
          <w:ilvl w:val="0"/>
          <w:numId w:val="2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望远镜观察时有没有发现视差的问题？</w:t>
      </w:r>
    </w:p>
    <w:p w14:paraId="3A11309E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实验初期在望远镜观察过程中</w:t>
      </w:r>
      <w:r>
        <w:rPr>
          <w:rStyle w:val="8"/>
          <w:rFonts w:ascii="宋体" w:hAnsi="宋体" w:eastAsia="宋体" w:cs="宋体"/>
          <w:sz w:val="24"/>
          <w:szCs w:val="24"/>
        </w:rPr>
        <w:t>发现存在视差现象</w:t>
      </w:r>
      <w:r>
        <w:rPr>
          <w:rFonts w:ascii="宋体" w:hAnsi="宋体" w:eastAsia="宋体" w:cs="宋体"/>
          <w:sz w:val="24"/>
          <w:szCs w:val="24"/>
        </w:rPr>
        <w:t>。当眼睛在目镜处发生轻微移动时，十字丝与被观察的光源像产生相对移动，表明十字丝平面与光源成像平面未处于同一焦面。其原因主要是目镜或物镜调焦不当。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为消除视差，实验中先调节目镜使十字丝成像清晰，再调节物镜使光源像清晰，直至改变眼睛位置时十字丝与光源像不再发生相对移动。视差的存在会影响角度读数的准确性，因此在正式测量前必须将其消除</w:t>
      </w:r>
    </w:p>
    <w:p w14:paraId="6820B656">
      <w:pPr>
        <w:numPr>
          <w:ilvl w:val="0"/>
          <w:numId w:val="2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为什么狭缝要调至适当宽度？太宽、太窄有什么问题？</w:t>
      </w:r>
    </w:p>
    <w:p w14:paraId="017B0660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狭缝宽度对光谱的亮度和分辨率有重要影响，必须调节至适当大小。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当狭缝过宽时，进入分光系统的光束宽度增大，导致光谱线变宽，相邻谱线可能发生重叠，光谱分辨率降低；但亮度较高。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当狭缝过窄时，通过的光通量减少，谱线亮度降低，同时由于衍射效应增强，也会使光谱线展宽，影响分辨率的提高，且观察较为困难。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因此，实验中应将狭缝调至既能保证足够亮度，又能获得较好分辨率的适当宽度，以满足测量要求。</w:t>
      </w: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09E4C9CA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FA344"/>
    <w:multiLevelType w:val="singleLevel"/>
    <w:tmpl w:val="CE9FA3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A302AD3"/>
    <w:multiLevelType w:val="singleLevel"/>
    <w:tmpl w:val="4A302AD3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1D152A8"/>
    <w:rsid w:val="035569D9"/>
    <w:rsid w:val="05CB5478"/>
    <w:rsid w:val="089D3D6A"/>
    <w:rsid w:val="0AE42D88"/>
    <w:rsid w:val="104B0B1C"/>
    <w:rsid w:val="12356D59"/>
    <w:rsid w:val="15896672"/>
    <w:rsid w:val="16DC22CD"/>
    <w:rsid w:val="17A912DD"/>
    <w:rsid w:val="18221E66"/>
    <w:rsid w:val="18610BE1"/>
    <w:rsid w:val="1B4817B1"/>
    <w:rsid w:val="1F837FAB"/>
    <w:rsid w:val="239049CC"/>
    <w:rsid w:val="3823302A"/>
    <w:rsid w:val="3A1B1608"/>
    <w:rsid w:val="3A5C0DBA"/>
    <w:rsid w:val="3B976656"/>
    <w:rsid w:val="45FE572D"/>
    <w:rsid w:val="4D660E30"/>
    <w:rsid w:val="5196388D"/>
    <w:rsid w:val="568A7B93"/>
    <w:rsid w:val="5A3638E2"/>
    <w:rsid w:val="5D115478"/>
    <w:rsid w:val="5D607856"/>
    <w:rsid w:val="5D9841DC"/>
    <w:rsid w:val="61384784"/>
    <w:rsid w:val="63E02B35"/>
    <w:rsid w:val="651D4205"/>
    <w:rsid w:val="6EB722E6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1229</Words>
  <Characters>1635</Characters>
  <Lines>42</Lines>
  <Paragraphs>18</Paragraphs>
  <TotalTime>0</TotalTime>
  <ScaleCrop>false</ScaleCrop>
  <LinksUpToDate>false</LinksUpToDate>
  <CharactersWithSpaces>1686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凡人修仙</cp:lastModifiedBy>
  <cp:lastPrinted>2020-02-17T08:32:00Z</cp:lastPrinted>
  <dcterms:modified xsi:type="dcterms:W3CDTF">2025-12-06T15:36:08Z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eyJoZGlkIjoiZGM1MmRiYWRkY2Q1ODRhMWU4YTU4ZjBjYTUyMzY4ZTUiLCJ1c2VySWQiOiI4NzQ4MzgxNTgifQ==</vt:lpwstr>
  </property>
</Properties>
</file>