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Student-Centered Learning Strategies for Teaching World and </w:t>
      </w:r>
      <w:r w:rsidDel="00000000" w:rsidR="00000000" w:rsidRPr="00000000">
        <w:rPr>
          <w:rFonts w:ascii="Times New Roman" w:cs="Times New Roman" w:eastAsia="Times New Roman" w:hAnsi="Times New Roman"/>
          <w:b w:val="1"/>
          <w:sz w:val="24"/>
          <w:szCs w:val="24"/>
          <w:rtl w:val="0"/>
        </w:rPr>
        <w:t xml:space="preserve">Popular </w:t>
      </w:r>
      <w:r w:rsidDel="00000000" w:rsidR="00000000" w:rsidRPr="00000000">
        <w:rPr>
          <w:rFonts w:ascii="Times New Roman" w:cs="Times New Roman" w:eastAsia="Times New Roman" w:hAnsi="Times New Roman"/>
          <w:b w:val="1"/>
          <w:sz w:val="24"/>
          <w:szCs w:val="24"/>
          <w:rtl w:val="0"/>
        </w:rPr>
        <w:t xml:space="preserve">Musics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When I was first assigned to teach a weekly three-hour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undergraduate course, I thought back to my days as an undergrad enrolled in an evening Philosophy of Education class. I took this particular course because it was required for my major and the time slot fit my already overloaded schedule. My most indelible memories of the class are of neither the smart and lively instructor nor the engaging material, but how I struggled to stay awake for lectures, yet easily engaged with peers during small group work. My approach to teaching such  courses (introductory, survey, or common curricular) takes into account the demanding lives of undergraduate students, while it </w:t>
      </w:r>
      <w:r w:rsidDel="00000000" w:rsidR="00000000" w:rsidRPr="00000000">
        <w:rPr>
          <w:rFonts w:ascii="Times New Roman" w:cs="Times New Roman" w:eastAsia="Times New Roman" w:hAnsi="Times New Roman"/>
          <w:sz w:val="24"/>
          <w:szCs w:val="24"/>
          <w:rtl w:val="0"/>
        </w:rPr>
        <w:t xml:space="preserve">remains</w:t>
      </w:r>
      <w:r w:rsidDel="00000000" w:rsidR="00000000" w:rsidRPr="00000000">
        <w:rPr>
          <w:rFonts w:ascii="Times New Roman" w:cs="Times New Roman" w:eastAsia="Times New Roman" w:hAnsi="Times New Roman"/>
          <w:sz w:val="24"/>
          <w:szCs w:val="24"/>
          <w:rtl w:val="0"/>
        </w:rPr>
        <w:t xml:space="preserve"> committed to a liberal arts education that privileges creative and critical practice.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this article, I offer two variations of a student-centered learning activity that I use in world and popular music courses, drawing on examples from my experience teaching at a variety of universities  (public teaching, private research, private teaching) located in the northeastern </w:t>
      </w:r>
      <w:r w:rsidDel="00000000" w:rsidR="00000000" w:rsidRPr="00000000">
        <w:rPr>
          <w:rFonts w:ascii="Times New Roman" w:cs="Times New Roman" w:eastAsia="Times New Roman" w:hAnsi="Times New Roman"/>
          <w:sz w:val="24"/>
          <w:szCs w:val="24"/>
          <w:rtl w:val="0"/>
        </w:rPr>
        <w:t xml:space="preserve">United S</w:t>
      </w:r>
      <w:r w:rsidDel="00000000" w:rsidR="00000000" w:rsidRPr="00000000">
        <w:rPr>
          <w:rFonts w:ascii="Times New Roman" w:cs="Times New Roman" w:eastAsia="Times New Roman" w:hAnsi="Times New Roman"/>
          <w:sz w:val="24"/>
          <w:szCs w:val="24"/>
          <w:rtl w:val="0"/>
        </w:rPr>
        <w:t xml:space="preserve">tates. They are guided by my experience as a student, a teacher, and an ethnographer—positions in which social interactions and dialogue created meaningful and memorable learning experiences. In tandem, t</w:t>
      </w:r>
      <w:r w:rsidDel="00000000" w:rsidR="00000000" w:rsidRPr="00000000">
        <w:rPr>
          <w:rFonts w:ascii="Times New Roman" w:cs="Times New Roman" w:eastAsia="Times New Roman" w:hAnsi="Times New Roman"/>
          <w:sz w:val="24"/>
          <w:szCs w:val="24"/>
          <w:rtl w:val="0"/>
        </w:rPr>
        <w:t xml:space="preserve">hey draw on </w:t>
      </w:r>
      <w:hyperlink r:id="rId6">
        <w:r w:rsidDel="00000000" w:rsidR="00000000" w:rsidRPr="00000000">
          <w:rPr>
            <w:rFonts w:ascii="Times New Roman" w:cs="Times New Roman" w:eastAsia="Times New Roman" w:hAnsi="Times New Roman"/>
            <w:color w:val="1155cc"/>
            <w:sz w:val="24"/>
            <w:szCs w:val="24"/>
            <w:rtl w:val="0"/>
          </w:rPr>
          <w:t xml:space="preserve">Carole McGranahan’s</w:t>
        </w:r>
      </w:hyperlink>
      <w:r w:rsidDel="00000000" w:rsidR="00000000" w:rsidRPr="00000000">
        <w:rPr>
          <w:rFonts w:ascii="Times New Roman" w:cs="Times New Roman" w:eastAsia="Times New Roman" w:hAnsi="Times New Roman"/>
          <w:sz w:val="24"/>
          <w:szCs w:val="24"/>
          <w:rtl w:val="0"/>
        </w:rPr>
        <w:t xml:space="preserve"> call to cultivate “an ethnographic sensibility...as the lived expectations, complexities, contradictions, possibilities, and ground of any given cultural group” (2015:23). While McGranahan’s project takes place over the course of an entire semester, I invite students to engage with a variety of personal and political investments and to access an </w:t>
      </w:r>
      <w:r w:rsidDel="00000000" w:rsidR="00000000" w:rsidRPr="00000000">
        <w:rPr>
          <w:rFonts w:ascii="Times New Roman" w:cs="Times New Roman" w:eastAsia="Times New Roman" w:hAnsi="Times New Roman"/>
          <w:sz w:val="24"/>
          <w:szCs w:val="24"/>
          <w:rtl w:val="0"/>
        </w:rPr>
        <w:t xml:space="preserve">affective register</w:t>
      </w:r>
      <w:r w:rsidDel="00000000" w:rsidR="00000000" w:rsidRPr="00000000">
        <w:rPr>
          <w:rFonts w:ascii="Times New Roman" w:cs="Times New Roman" w:eastAsia="Times New Roman" w:hAnsi="Times New Roman"/>
          <w:sz w:val="24"/>
          <w:szCs w:val="24"/>
          <w:rtl w:val="0"/>
        </w:rPr>
        <w:t xml:space="preserve"> in the course of a single class. These activities guide students from the known to the unknown through personal,  interpersonal, and intercultural engagement and reflection. Ultimately, they offer in-class entry to ethnographic sensibilities and promote critical thinking and negotiation of difference.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Teaching Sociocultural Concepts through Student-led Engagement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necessary step for students to comprehend, and later, internalize and synthesize sociocultural constructions (such as race and gender) is the development of a vocabulary for discussing and writing about such concepts. When I first began teaching “Introduction to World Music,” I addressed issues by assigning a reading and subsequently lecturing to students on the relevant terms, providing succinct definitions and examples. Often, this tack was met by facial expressions that seemed to signify a mixture of confusion, boredom, and frustration. Though I suspect that these reactions were at least in part guided by an expectation that music courses should be exclusively about “the music,” they nonetheless gave me pause to design new methods. I offer the following group activities from my “Introduction to World Music” and “History of Rock” courses as one approach to teaching sociocultural concepts through student engagement.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Nowadays, rather than spending time lecturing on sociocultural constructions, I first assign a preparatory reading and then take class time to have students work collaboratively in small groups (see also</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rtl w:val="0"/>
          </w:rPr>
          <w:t xml:space="preserve">Carla R. Colletti’s</w:t>
        </w:r>
      </w:hyperlink>
      <w:r w:rsidDel="00000000" w:rsidR="00000000" w:rsidRPr="00000000">
        <w:rPr>
          <w:rFonts w:ascii="Times New Roman" w:cs="Times New Roman" w:eastAsia="Times New Roman" w:hAnsi="Times New Roman"/>
          <w:color w:val="1a1a1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application of Donald L. Finkel’s</w:t>
      </w:r>
      <w:hyperlink r:id="rId9">
        <w:r w:rsidDel="00000000" w:rsidR="00000000" w:rsidRPr="00000000">
          <w:rPr>
            <w:rFonts w:ascii="Times New Roman" w:cs="Times New Roman" w:eastAsia="Times New Roman" w:hAnsi="Times New Roman"/>
            <w:color w:val="1a1a1a"/>
            <w:sz w:val="24"/>
            <w:szCs w:val="24"/>
            <w:rtl w:val="0"/>
          </w:rPr>
          <w:t xml:space="preserve"> </w:t>
        </w:r>
      </w:hyperlink>
      <w:hyperlink r:id="rId10">
        <w:r w:rsidDel="00000000" w:rsidR="00000000" w:rsidRPr="00000000">
          <w:rPr>
            <w:rFonts w:ascii="Times New Roman" w:cs="Times New Roman" w:eastAsia="Times New Roman" w:hAnsi="Times New Roman"/>
            <w:i w:val="1"/>
            <w:color w:val="1155cc"/>
            <w:sz w:val="24"/>
            <w:szCs w:val="24"/>
            <w:rtl w:val="0"/>
          </w:rPr>
          <w:t xml:space="preserve">Teaching with Your Mouth Shut</w:t>
        </w:r>
      </w:hyperlink>
      <w:r w:rsidDel="00000000" w:rsidR="00000000" w:rsidRPr="00000000">
        <w:rPr>
          <w:rFonts w:ascii="Times New Roman" w:cs="Times New Roman" w:eastAsia="Times New Roman" w:hAnsi="Times New Roman"/>
          <w:color w:val="434343"/>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Depending on the particular classroom culture, I either delegate groups of two or three members (I find that this group size allows time for each student to voice ideas and opinions) or have students work with peers of their choosing. Next, I orally overview the activity instructions. I stress the importance of alternating leadership for each question and first discussing, then recording, responses.  I tell students that the point of this exercise is not to “complete” answers, but to understand and employ the given concepts. Above all, I make clear that my classroom is a place in which the personal and political investments of all persons are to be respected, not as a top-down mandate, but </w:t>
      </w:r>
      <w:r w:rsidDel="00000000" w:rsidR="00000000" w:rsidRPr="00000000">
        <w:rPr>
          <w:rFonts w:ascii="Times New Roman" w:cs="Times New Roman" w:eastAsia="Times New Roman" w:hAnsi="Times New Roman"/>
          <w:sz w:val="24"/>
          <w:szCs w:val="24"/>
          <w:rtl w:val="0"/>
        </w:rPr>
        <w:t xml:space="preserve">to nurture a </w:t>
      </w:r>
      <w:r w:rsidDel="00000000" w:rsidR="00000000" w:rsidRPr="00000000">
        <w:rPr>
          <w:rFonts w:ascii="Times New Roman" w:cs="Times New Roman" w:eastAsia="Times New Roman" w:hAnsi="Times New Roman"/>
          <w:i w:val="1"/>
          <w:sz w:val="24"/>
          <w:szCs w:val="24"/>
          <w:rtl w:val="0"/>
        </w:rPr>
        <w:t xml:space="preserve">sensibility</w:t>
      </w:r>
      <w:r w:rsidDel="00000000" w:rsidR="00000000" w:rsidRPr="00000000">
        <w:rPr>
          <w:rFonts w:ascii="Times New Roman" w:cs="Times New Roman" w:eastAsia="Times New Roman" w:hAnsi="Times New Roman"/>
          <w:sz w:val="24"/>
          <w:szCs w:val="24"/>
          <w:rtl w:val="0"/>
        </w:rPr>
        <w:t xml:space="preserve"> for negotiating difference</w:t>
      </w:r>
      <w:r w:rsidDel="00000000" w:rsidR="00000000" w:rsidRPr="00000000">
        <w:rPr>
          <w:rFonts w:ascii="Times New Roman" w:cs="Times New Roman" w:eastAsia="Times New Roman" w:hAnsi="Times New Roman"/>
          <w:sz w:val="24"/>
          <w:szCs w:val="24"/>
          <w:rtl w:val="0"/>
        </w:rPr>
        <w:t xml:space="preserve">. Lastly, I give students the </w:t>
      </w:r>
      <w:hyperlink r:id="rId11">
        <w:r w:rsidDel="00000000" w:rsidR="00000000" w:rsidRPr="00000000">
          <w:rPr>
            <w:rFonts w:ascii="Times New Roman" w:cs="Times New Roman" w:eastAsia="Times New Roman" w:hAnsi="Times New Roman"/>
            <w:color w:val="1155cc"/>
            <w:sz w:val="24"/>
            <w:szCs w:val="24"/>
            <w:u w:val="single"/>
            <w:rtl w:val="0"/>
          </w:rPr>
          <w:t xml:space="preserve">Black Atlantic Discussion Handout</w:t>
        </w:r>
      </w:hyperlink>
      <w:r w:rsidDel="00000000" w:rsidR="00000000" w:rsidRPr="00000000">
        <w:rPr>
          <w:rFonts w:ascii="Times New Roman" w:cs="Times New Roman" w:eastAsia="Times New Roman" w:hAnsi="Times New Roman"/>
          <w:sz w:val="24"/>
          <w:szCs w:val="24"/>
          <w:rtl w:val="0"/>
        </w:rPr>
        <w:t xml:space="preserve"> and inform them of the time allotted (about 20 minutes) for </w:t>
      </w:r>
      <w:r w:rsidDel="00000000" w:rsidR="00000000" w:rsidRPr="00000000">
        <w:rPr>
          <w:rFonts w:ascii="Times New Roman" w:cs="Times New Roman" w:eastAsia="Times New Roman" w:hAnsi="Times New Roman"/>
          <w:sz w:val="24"/>
          <w:szCs w:val="24"/>
          <w:rtl w:val="0"/>
        </w:rPr>
        <w:t xml:space="preserve">the activity</w:t>
      </w:r>
      <w:r w:rsidDel="00000000" w:rsidR="00000000" w:rsidRPr="00000000">
        <w:rPr>
          <w:rFonts w:ascii="Times New Roman" w:cs="Times New Roman" w:eastAsia="Times New Roman" w:hAnsi="Times New Roman"/>
          <w:sz w:val="24"/>
          <w:szCs w:val="24"/>
          <w:rtl w:val="0"/>
        </w:rPr>
        <w:t xml:space="preserve">, for pacing purposes.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For my unit on the</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rtl w:val="0"/>
          </w:rPr>
          <w:t xml:space="preserve">Black Atlantic</w:t>
        </w:r>
      </w:hyperlink>
      <w:r w:rsidDel="00000000" w:rsidR="00000000" w:rsidRPr="00000000">
        <w:rPr>
          <w:rFonts w:ascii="Times New Roman" w:cs="Times New Roman" w:eastAsia="Times New Roman" w:hAnsi="Times New Roman"/>
          <w:sz w:val="24"/>
          <w:szCs w:val="24"/>
          <w:rtl w:val="0"/>
        </w:rPr>
        <w:t xml:space="preserve"> in “Introduction to World Music,” I assign students the “Introduction” from Robin D. Moore’s</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i w:val="1"/>
            <w:color w:val="0000ff"/>
            <w:sz w:val="24"/>
            <w:szCs w:val="24"/>
            <w:rtl w:val="0"/>
          </w:rPr>
          <w:t xml:space="preserve">Music in the Hispanic Caribbean: Experiencing Music, Expressing Culture</w:t>
        </w:r>
      </w:hyperlink>
      <w:r w:rsidDel="00000000" w:rsidR="00000000" w:rsidRPr="00000000">
        <w:rPr>
          <w:rFonts w:ascii="Times New Roman" w:cs="Times New Roman" w:eastAsia="Times New Roman" w:hAnsi="Times New Roman"/>
          <w:sz w:val="24"/>
          <w:szCs w:val="24"/>
          <w:rtl w:val="0"/>
        </w:rPr>
        <w:t xml:space="preserve"> as a preparatory reading for teaching</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0000ff"/>
            <w:sz w:val="24"/>
            <w:szCs w:val="24"/>
            <w:rtl w:val="0"/>
          </w:rPr>
          <w:t xml:space="preserve">Michael Omi and Howard Winant</w:t>
        </w:r>
      </w:hyperlink>
      <w:r w:rsidDel="00000000" w:rsidR="00000000" w:rsidRPr="00000000">
        <w:rPr>
          <w:rFonts w:ascii="Times New Roman" w:cs="Times New Roman" w:eastAsia="Times New Roman" w:hAnsi="Times New Roman"/>
          <w:sz w:val="24"/>
          <w:szCs w:val="24"/>
          <w:rtl w:val="0"/>
        </w:rPr>
        <w:t xml:space="preserve">’s theory of racial formations. First, I pose knowledge- and comprehension-based questions following</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0000ff"/>
            <w:sz w:val="24"/>
            <w:szCs w:val="24"/>
            <w:rtl w:val="0"/>
          </w:rPr>
          <w:t xml:space="preserve">Bloom’s taxonomy of learning objectives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720" w:right="720" w:firstLine="0"/>
        <w:contextualSpacing w:val="0"/>
        <w:jc w:val="both"/>
      </w:pPr>
      <w:r w:rsidDel="00000000" w:rsidR="00000000" w:rsidRPr="00000000">
        <w:rPr>
          <w:rFonts w:ascii="Times New Roman" w:cs="Times New Roman" w:eastAsia="Times New Roman" w:hAnsi="Times New Roman"/>
          <w:sz w:val="24"/>
          <w:szCs w:val="24"/>
          <w:rtl w:val="0"/>
        </w:rPr>
        <w:t xml:space="preserve">1. What do Omi and Winant mean by racial formation?  List one example of an historical racial formation cited in </w:t>
      </w:r>
      <w:r w:rsidDel="00000000" w:rsidR="00000000" w:rsidRPr="00000000">
        <w:rPr>
          <w:rFonts w:ascii="Times New Roman" w:cs="Times New Roman" w:eastAsia="Times New Roman" w:hAnsi="Times New Roman"/>
          <w:i w:val="1"/>
          <w:sz w:val="24"/>
          <w:szCs w:val="24"/>
          <w:rtl w:val="0"/>
        </w:rPr>
        <w:t xml:space="preserve">Music in the Hispanic Caribbean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720" w:right="720" w:firstLine="0"/>
        <w:contextualSpacing w:val="0"/>
        <w:jc w:val="both"/>
      </w:pPr>
      <w:r w:rsidDel="00000000" w:rsidR="00000000" w:rsidRPr="00000000">
        <w:rPr>
          <w:rFonts w:ascii="Times New Roman" w:cs="Times New Roman" w:eastAsia="Times New Roman" w:hAnsi="Times New Roman"/>
          <w:sz w:val="24"/>
          <w:szCs w:val="24"/>
          <w:rtl w:val="0"/>
        </w:rPr>
        <w:t xml:space="preserve">2. What do Omi and Winant mean by racial project? List one example of a racial project cited in </w:t>
      </w:r>
      <w:r w:rsidDel="00000000" w:rsidR="00000000" w:rsidRPr="00000000">
        <w:rPr>
          <w:rFonts w:ascii="Times New Roman" w:cs="Times New Roman" w:eastAsia="Times New Roman" w:hAnsi="Times New Roman"/>
          <w:i w:val="1"/>
          <w:sz w:val="24"/>
          <w:szCs w:val="24"/>
          <w:rtl w:val="0"/>
        </w:rPr>
        <w:t xml:space="preserve">Music in the Hispanic Caribbean</w:t>
      </w:r>
    </w:p>
    <w:p w:rsidR="00000000" w:rsidDel="00000000" w:rsidP="00000000" w:rsidRDefault="00000000" w:rsidRPr="00000000">
      <w:pPr>
        <w:ind w:left="720" w:right="720" w:firstLine="0"/>
        <w:contextualSpacing w:val="0"/>
        <w:jc w:val="both"/>
      </w:pPr>
      <w:r w:rsidDel="00000000" w:rsidR="00000000" w:rsidRPr="00000000">
        <w:rPr>
          <w:rFonts w:ascii="Times New Roman" w:cs="Times New Roman" w:eastAsia="Times New Roman" w:hAnsi="Times New Roman"/>
          <w:sz w:val="24"/>
          <w:szCs w:val="24"/>
          <w:rtl w:val="0"/>
        </w:rPr>
        <w:t xml:space="preserve">3. What historical and social factors have contributed to contemporary Caribbean racial formations?</w:t>
      </w:r>
    </w:p>
    <w:p w:rsidR="00000000" w:rsidDel="00000000" w:rsidP="00000000" w:rsidRDefault="00000000" w:rsidRPr="00000000">
      <w:pPr>
        <w:ind w:left="720" w:right="720" w:firstLine="0"/>
        <w:contextualSpacing w:val="0"/>
        <w:jc w:val="both"/>
      </w:pPr>
      <w:r w:rsidDel="00000000" w:rsidR="00000000" w:rsidRPr="00000000">
        <w:rPr>
          <w:rtl w:val="0"/>
        </w:rPr>
      </w:r>
    </w:p>
    <w:p w:rsidR="00000000" w:rsidDel="00000000" w:rsidP="00000000" w:rsidRDefault="00000000" w:rsidRPr="00000000">
      <w:pPr>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Next, the activity challenges students to apply these concepts to American sociocultural history and contemporary life:</w:t>
      </w:r>
    </w:p>
    <w:p w:rsidR="00000000" w:rsidDel="00000000" w:rsidP="00000000" w:rsidRDefault="00000000" w:rsidRPr="00000000">
      <w:pPr>
        <w:ind w:left="720" w:right="720" w:firstLine="0"/>
        <w:contextualSpacing w:val="0"/>
        <w:jc w:val="both"/>
      </w:pPr>
      <w:r w:rsidDel="00000000" w:rsidR="00000000" w:rsidRPr="00000000">
        <w:rPr>
          <w:rFonts w:ascii="Times New Roman" w:cs="Times New Roman" w:eastAsia="Times New Roman" w:hAnsi="Times New Roman"/>
          <w:sz w:val="24"/>
          <w:szCs w:val="24"/>
          <w:rtl w:val="0"/>
        </w:rPr>
        <w:t xml:space="preserve">1a. Taking Omi and Winant’s definition of racial formation, identify one (historical or contemporary) example of a racial formation in the United States.</w:t>
      </w:r>
    </w:p>
    <w:p w:rsidR="00000000" w:rsidDel="00000000" w:rsidP="00000000" w:rsidRDefault="00000000" w:rsidRPr="00000000">
      <w:pPr>
        <w:ind w:left="720" w:right="720" w:firstLine="0"/>
        <w:contextualSpacing w:val="0"/>
        <w:jc w:val="both"/>
      </w:pPr>
      <w:r w:rsidDel="00000000" w:rsidR="00000000" w:rsidRPr="00000000">
        <w:rPr>
          <w:rFonts w:ascii="Times New Roman" w:cs="Times New Roman" w:eastAsia="Times New Roman" w:hAnsi="Times New Roman"/>
          <w:sz w:val="24"/>
          <w:szCs w:val="24"/>
          <w:rtl w:val="0"/>
        </w:rPr>
        <w:t xml:space="preserve">2a. Taking Omi and Winant’s definition of racial project, identify one (historical or contemporary) example of a racial project in the United States.</w:t>
      </w:r>
    </w:p>
    <w:p w:rsidR="00000000" w:rsidDel="00000000" w:rsidP="00000000" w:rsidRDefault="00000000" w:rsidRPr="00000000">
      <w:pPr>
        <w:ind w:left="720" w:right="720" w:firstLine="0"/>
        <w:contextualSpacing w:val="0"/>
        <w:jc w:val="both"/>
      </w:pPr>
      <w:r w:rsidDel="00000000" w:rsidR="00000000" w:rsidRPr="00000000">
        <w:rPr>
          <w:rFonts w:ascii="Times New Roman" w:cs="Times New Roman" w:eastAsia="Times New Roman" w:hAnsi="Times New Roman"/>
          <w:sz w:val="24"/>
          <w:szCs w:val="24"/>
          <w:rtl w:val="0"/>
        </w:rPr>
        <w:t xml:space="preserve">3a.What historical and social factors have contributed to contemporary racial formations in the United States?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This group activity introduces theoretical concepts and promotes intercultural literacy. The knowledge and comprehension questions prompt students to think both abstractly (general definitions) and concretely (specific examples), inchoate steps to developing skills necessary to cultivate </w:t>
      </w:r>
      <w:r w:rsidDel="00000000" w:rsidR="00000000" w:rsidRPr="00000000">
        <w:rPr>
          <w:rFonts w:ascii="Times New Roman" w:cs="Times New Roman" w:eastAsia="Times New Roman" w:hAnsi="Times New Roman"/>
          <w:sz w:val="24"/>
          <w:szCs w:val="24"/>
          <w:rtl w:val="0"/>
        </w:rPr>
        <w:t xml:space="preserve">ethnographic sensibilities</w:t>
      </w:r>
      <w:r w:rsidDel="00000000" w:rsidR="00000000" w:rsidRPr="00000000">
        <w:rPr>
          <w:rFonts w:ascii="Times New Roman" w:cs="Times New Roman" w:eastAsia="Times New Roman" w:hAnsi="Times New Roman"/>
          <w:sz w:val="24"/>
          <w:szCs w:val="24"/>
          <w:rtl w:val="0"/>
        </w:rPr>
        <w:t xml:space="preserve">. Accordingly, the instantiations—situated in time and place—call into question sociocultural generalizations. Students, incorporating both the general and the particular, are encouraged to reframe issues as complicated and contradictory.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This leads to the application questions, which prompt students to cite examples based on their own ideas, knowledge, and experience, rather than those addressed in the reading. (I do not assume that students are from or self-identify with </w:t>
      </w:r>
      <w:r w:rsidDel="00000000" w:rsidR="00000000" w:rsidRPr="00000000">
        <w:rPr>
          <w:rFonts w:ascii="Times New Roman" w:cs="Times New Roman" w:eastAsia="Times New Roman" w:hAnsi="Times New Roman"/>
          <w:sz w:val="24"/>
          <w:szCs w:val="24"/>
          <w:rtl w:val="0"/>
        </w:rPr>
        <w:t xml:space="preserve">U.S. </w:t>
      </w:r>
      <w:r w:rsidDel="00000000" w:rsidR="00000000" w:rsidRPr="00000000">
        <w:rPr>
          <w:rFonts w:ascii="Times New Roman" w:cs="Times New Roman" w:eastAsia="Times New Roman" w:hAnsi="Times New Roman"/>
          <w:sz w:val="24"/>
          <w:szCs w:val="24"/>
          <w:rtl w:val="0"/>
        </w:rPr>
        <w:t xml:space="preserve">American culture, but as the institutions where I teach are all located in the northeastern United States, it serves as a shared place for my students.) This is where Moore’s accessible yet non-reductionist introduction of the material and the recollection of the examples from the Hispanic Caribbean should stand students in good stead in their production of new examples, ultimately employing newly assimilated concepts to extant knowledge. I submit that it is this final step that—although not directly calling for comparative analysis—nevertheless does so via the nature of the questions and the page layout itself. Further, the parallel structure of the activity indirectly invites students to reassess and reevaluate racial formations and projects in the United States vis-à-vis those cited from the Hispanic Caribbean.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Drawing on this model, I offer the following activity for a “History of Rock” lesson focusing on issues of gender, labor, and the music business in the context of 1960s girl groups. First, I assign the preparatory reading “26. The Brill Building and the Girl Groups” from David Brackett’s</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i w:val="1"/>
            <w:color w:val="0000ff"/>
            <w:sz w:val="24"/>
            <w:szCs w:val="24"/>
            <w:rtl w:val="0"/>
          </w:rPr>
          <w:t xml:space="preserve">The Pop, Rock, and Soul Reader: Histories and Debates, Third Edition</w:t>
        </w:r>
      </w:hyperlink>
      <w:r w:rsidDel="00000000" w:rsidR="00000000" w:rsidRPr="00000000">
        <w:rPr>
          <w:rFonts w:ascii="Times New Roman" w:cs="Times New Roman" w:eastAsia="Times New Roman" w:hAnsi="Times New Roman"/>
          <w:sz w:val="24"/>
          <w:szCs w:val="24"/>
          <w:rtl w:val="0"/>
        </w:rPr>
        <w:t xml:space="preserve">. Then, I introduce the</w:t>
      </w:r>
      <w:r w:rsidDel="00000000" w:rsidR="00000000" w:rsidRPr="00000000">
        <w:rPr>
          <w:rFonts w:ascii="Times New Roman" w:cs="Times New Roman" w:eastAsia="Times New Roman" w:hAnsi="Times New Roman"/>
          <w:sz w:val="24"/>
          <w:szCs w:val="24"/>
          <w:rtl w:val="0"/>
        </w:rPr>
        <w:t xml:space="preserve"> </w:t>
      </w:r>
      <w:hyperlink r:id="rId22">
        <w:r w:rsidDel="00000000" w:rsidR="00000000" w:rsidRPr="00000000">
          <w:rPr>
            <w:rFonts w:ascii="Times New Roman" w:cs="Times New Roman" w:eastAsia="Times New Roman" w:hAnsi="Times New Roman"/>
            <w:color w:val="1155cc"/>
            <w:sz w:val="24"/>
            <w:szCs w:val="24"/>
            <w:u w:val="single"/>
            <w:rtl w:val="0"/>
          </w:rPr>
          <w:t xml:space="preserve">Girl Group Discussion Handout</w:t>
        </w:r>
      </w:hyperlink>
      <w:r w:rsidDel="00000000" w:rsidR="00000000" w:rsidRPr="00000000">
        <w:rPr>
          <w:rFonts w:ascii="Times New Roman" w:cs="Times New Roman" w:eastAsia="Times New Roman" w:hAnsi="Times New Roman"/>
          <w:sz w:val="24"/>
          <w:szCs w:val="24"/>
          <w:rtl w:val="0"/>
        </w:rPr>
        <w:t xml:space="preserve"> in the manner of the previous activity. Likewise, this task proceeds from lower- to higher-level Bloom objectives, with students first responding to the following questions:</w:t>
      </w:r>
    </w:p>
    <w:p w:rsidR="00000000" w:rsidDel="00000000" w:rsidP="00000000" w:rsidRDefault="00000000" w:rsidRPr="00000000">
      <w:pPr>
        <w:ind w:left="720" w:right="720" w:firstLine="0"/>
        <w:contextualSpacing w:val="0"/>
        <w:jc w:val="both"/>
      </w:pPr>
      <w:r w:rsidDel="00000000" w:rsidR="00000000" w:rsidRPr="00000000">
        <w:rPr>
          <w:rFonts w:ascii="Times New Roman" w:cs="Times New Roman" w:eastAsia="Times New Roman" w:hAnsi="Times New Roman"/>
          <w:sz w:val="24"/>
          <w:szCs w:val="24"/>
          <w:rtl w:val="0"/>
        </w:rPr>
        <w:t xml:space="preserve">1. From Greenwich’s perspective, how did the early 1960s music business work in the Brill Building (how was labor divided)? Within this system, what roles did women typically perform?</w:t>
      </w:r>
    </w:p>
    <w:p w:rsidR="00000000" w:rsidDel="00000000" w:rsidP="00000000" w:rsidRDefault="00000000" w:rsidRPr="00000000">
      <w:pPr>
        <w:ind w:left="720" w:right="720" w:firstLine="0"/>
        <w:contextualSpacing w:val="0"/>
        <w:jc w:val="both"/>
      </w:pPr>
      <w:r w:rsidDel="00000000" w:rsidR="00000000" w:rsidRPr="00000000">
        <w:rPr>
          <w:rFonts w:ascii="Times New Roman" w:cs="Times New Roman" w:eastAsia="Times New Roman" w:hAnsi="Times New Roman"/>
          <w:sz w:val="24"/>
          <w:szCs w:val="24"/>
          <w:rtl w:val="0"/>
        </w:rPr>
        <w:t xml:space="preserve">2. How do Greenwich &amp; King’s stories interrupt the traditional gender roles of the period?</w:t>
      </w:r>
    </w:p>
    <w:p w:rsidR="00000000" w:rsidDel="00000000" w:rsidP="00000000" w:rsidRDefault="00000000" w:rsidRPr="00000000">
      <w:pPr>
        <w:ind w:left="720" w:right="720" w:firstLine="0"/>
        <w:contextualSpacing w:val="0"/>
        <w:jc w:val="both"/>
      </w:pPr>
      <w:r w:rsidDel="00000000" w:rsidR="00000000" w:rsidRPr="00000000">
        <w:rPr>
          <w:rFonts w:ascii="Times New Roman" w:cs="Times New Roman" w:eastAsia="Times New Roman" w:hAnsi="Times New Roman"/>
          <w:sz w:val="24"/>
          <w:szCs w:val="24"/>
          <w:rtl w:val="0"/>
        </w:rPr>
        <w:t xml:space="preserve">3. What does Love’s story tell us about the power dynamic between producer and performer? How are they informed by gender?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teaching introductory music courses I find that many of my students respond well to activities in which they are given an opportunity to share stories about their own life experience. Following this, </w:t>
      </w:r>
      <w:r w:rsidDel="00000000" w:rsidR="00000000" w:rsidRPr="00000000">
        <w:rPr>
          <w:rFonts w:ascii="Times New Roman" w:cs="Times New Roman" w:eastAsia="Times New Roman" w:hAnsi="Times New Roman"/>
          <w:sz w:val="24"/>
          <w:szCs w:val="24"/>
          <w:rtl w:val="0"/>
        </w:rPr>
        <w:t xml:space="preserve">students are called to </w:t>
      </w:r>
      <w:r w:rsidDel="00000000" w:rsidR="00000000" w:rsidRPr="00000000">
        <w:rPr>
          <w:rFonts w:ascii="Times New Roman" w:cs="Times New Roman" w:eastAsia="Times New Roman" w:hAnsi="Times New Roman"/>
          <w:sz w:val="24"/>
          <w:szCs w:val="24"/>
          <w:rtl w:val="0"/>
        </w:rPr>
        <w:t xml:space="preserve">compare these issues with those of their own field</w:t>
      </w:r>
      <w:r w:rsidDel="00000000" w:rsidR="00000000" w:rsidRPr="00000000">
        <w:rPr>
          <w:rFonts w:ascii="Times New Roman" w:cs="Times New Roman" w:eastAsia="Times New Roman" w:hAnsi="Times New Roman"/>
          <w:sz w:val="24"/>
          <w:szCs w:val="24"/>
          <w:rtl w:val="0"/>
        </w:rPr>
        <w:t xml:space="preserve"> or workplace:</w:t>
      </w:r>
    </w:p>
    <w:p w:rsidR="00000000" w:rsidDel="00000000" w:rsidP="00000000" w:rsidRDefault="00000000" w:rsidRPr="00000000">
      <w:pPr>
        <w:ind w:left="720" w:right="720" w:firstLine="0"/>
        <w:contextualSpacing w:val="0"/>
        <w:jc w:val="both"/>
      </w:pPr>
      <w:r w:rsidDel="00000000" w:rsidR="00000000" w:rsidRPr="00000000">
        <w:rPr>
          <w:rFonts w:ascii="Times New Roman" w:cs="Times New Roman" w:eastAsia="Times New Roman" w:hAnsi="Times New Roman"/>
          <w:sz w:val="24"/>
          <w:szCs w:val="24"/>
          <w:rtl w:val="0"/>
        </w:rPr>
        <w:t xml:space="preserve">1a. State your chosen workplace/field. How is labor divided in this field? Within this system, what roles do women typically perform?</w:t>
      </w:r>
    </w:p>
    <w:p w:rsidR="00000000" w:rsidDel="00000000" w:rsidP="00000000" w:rsidRDefault="00000000" w:rsidRPr="00000000">
      <w:pPr>
        <w:ind w:left="720" w:right="720" w:firstLine="0"/>
        <w:contextualSpacing w:val="0"/>
        <w:jc w:val="both"/>
      </w:pPr>
      <w:r w:rsidDel="00000000" w:rsidR="00000000" w:rsidRPr="00000000">
        <w:rPr>
          <w:rFonts w:ascii="Times New Roman" w:cs="Times New Roman" w:eastAsia="Times New Roman" w:hAnsi="Times New Roman"/>
          <w:sz w:val="24"/>
          <w:szCs w:val="24"/>
          <w:rtl w:val="0"/>
        </w:rPr>
        <w:t xml:space="preserve">2a. From the perspective of your chosen workplace/field, cite a specific example or story that contests the gender expectations of this field.</w:t>
      </w:r>
    </w:p>
    <w:p w:rsidR="00000000" w:rsidDel="00000000" w:rsidP="00000000" w:rsidRDefault="00000000" w:rsidRPr="00000000">
      <w:pPr>
        <w:ind w:left="720" w:right="720" w:firstLine="0"/>
        <w:contextualSpacing w:val="0"/>
        <w:jc w:val="both"/>
      </w:pPr>
      <w:r w:rsidDel="00000000" w:rsidR="00000000" w:rsidRPr="00000000">
        <w:rPr>
          <w:rFonts w:ascii="Times New Roman" w:cs="Times New Roman" w:eastAsia="Times New Roman" w:hAnsi="Times New Roman"/>
          <w:sz w:val="24"/>
          <w:szCs w:val="24"/>
          <w:rtl w:val="0"/>
        </w:rPr>
        <w:t xml:space="preserve">3a. From the perspective of your chosen workplace/field, what power dynamics are at play? How are they informed by gender?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small group setting of the “History of Rock” exercise allows students who may not be comfortable voicing their ideas in a large group a more manageable context for doing so, and may even welcome, for some, access to an affective register. Also, as students self-reflect and learn from the life views of peers, they engage with multiple subjectivities, a necessary component in developing an ethnographic sensibility (</w:t>
      </w:r>
      <w:hyperlink r:id="rId23">
        <w:r w:rsidDel="00000000" w:rsidR="00000000" w:rsidRPr="00000000">
          <w:rPr>
            <w:rFonts w:ascii="Times New Roman" w:cs="Times New Roman" w:eastAsia="Times New Roman" w:hAnsi="Times New Roman"/>
            <w:color w:val="1155cc"/>
            <w:sz w:val="24"/>
            <w:szCs w:val="24"/>
            <w:rtl w:val="0"/>
          </w:rPr>
          <w:t xml:space="preserve">McGranahan</w:t>
        </w:r>
      </w:hyperlink>
      <w:r w:rsidDel="00000000" w:rsidR="00000000" w:rsidRPr="00000000">
        <w:rPr>
          <w:rFonts w:ascii="Times New Roman" w:cs="Times New Roman" w:eastAsia="Times New Roman" w:hAnsi="Times New Roman"/>
          <w:sz w:val="24"/>
          <w:szCs w:val="24"/>
          <w:rtl w:val="0"/>
        </w:rPr>
        <w:t xml:space="preserve"> 2015</w:t>
      </w:r>
      <w:r w:rsidDel="00000000" w:rsidR="00000000" w:rsidRPr="00000000">
        <w:rPr>
          <w:rFonts w:ascii="Times New Roman" w:cs="Times New Roman" w:eastAsia="Times New Roman" w:hAnsi="Times New Roman"/>
          <w:sz w:val="24"/>
          <w:szCs w:val="24"/>
          <w:rtl w:val="0"/>
        </w:rPr>
        <w:t xml:space="preserve">). As in the previous exercise, the page layout of the handout solidifies the comparative endeavor. By likening the given topic—here, gender, labor, and the music industry—to students’ own chosen fields, this activity seeks to put the social history of rock in direct dialogue with a topic of supreme relevance for many students. It does so to personalize the learning experience, to make the given material more memorable, and to create conditions for critical examination of labor and gender.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Engagement as Praxis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Through a student-centered approach to classroom pedagogy, immediate concerns of students and classroom management meet long-term liberal educational goals. These strategies provide a platform for students to become active agents in their learning, as well as foster sensibilities that speak to greater humanistic questions. They ask students to locate and contemplate multiple subject positions, intimating questions about what it means to be human, what it means to know oneself, and what it means to know others. In her anthropology classes McGranahan charges students to inhabit three subject positions: that of a given culture, that of themselves, and that of an anthropologist. In these activities I solicit students to consider, rather than to “inhabit,” McGranahan’s first two subjectivities, as well as collegial and historical ones. The task newly examines the known and unknown dialectically. I find that for some students, probing the investments of self and classmates, in particular, tenders an affective register—a condition as equally necessary for ethnography as intellectual understanding (</w:t>
      </w:r>
      <w:r w:rsidDel="00000000" w:rsidR="00000000" w:rsidRPr="00000000">
        <w:rPr>
          <w:rFonts w:ascii="Times New Roman" w:cs="Times New Roman" w:eastAsia="Times New Roman" w:hAnsi="Times New Roman"/>
          <w:sz w:val="24"/>
          <w:szCs w:val="24"/>
          <w:rtl w:val="0"/>
        </w:rPr>
        <w:t xml:space="preserve">McGranahan 2015</w:t>
      </w:r>
      <w:r w:rsidDel="00000000" w:rsidR="00000000" w:rsidRPr="00000000">
        <w:rPr>
          <w:rFonts w:ascii="Times New Roman" w:cs="Times New Roman" w:eastAsia="Times New Roman" w:hAnsi="Times New Roman"/>
          <w:sz w:val="24"/>
          <w:szCs w:val="24"/>
          <w:rtl w:val="0"/>
        </w:rPr>
        <w:t xml:space="preserve">:32). In tandem, an affective response on the part of a few often begets recognition on the part of many, potentially, going so far as to create classroom conditions for sharing with students some of the very reasons why many ethnographers, including myself, find the practice to be an endeavor worthy of perennial commitment.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While these strategies were created specifically to address the challenges of the once-per-week class format, they also may be adapted well for other schedules. Their issue-based approach provides an analytic of access for both majors and non-majors and their parallel format, which proceeds left to right commensurately with Bloom’s objectives, may be refashioned to address an array of topics for a variety of world and popular music courses. Through student-led discussion, these activities not only actively engage students, but moreover, invite them to take charge of their own processes of critical thinking and reflection and negotiation of difference. Finally, by taking class time to focus on issues, these strategies impress to students that music’s social and cultural dimensions are not separate from, but constitutive of the sounds from which they emanate.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commentRangeStart w:id="0"/>
      <w:commentRangeStart w:id="1"/>
      <w:commentRangeStart w:id="2"/>
      <w:commentRangeStart w:id="3"/>
      <w:commentRangeStart w:id="4"/>
      <w:commentRangeStart w:id="5"/>
      <w:r w:rsidDel="00000000" w:rsidR="00000000" w:rsidRPr="00000000">
        <w:rPr>
          <w:rFonts w:ascii="Times New Roman" w:cs="Times New Roman" w:eastAsia="Times New Roman" w:hAnsi="Times New Roman"/>
          <w:b w:val="1"/>
          <w:sz w:val="24"/>
          <w:szCs w:val="24"/>
          <w:rtl w:val="0"/>
        </w:rPr>
        <w:t xml:space="preserve">Bibliographica</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b w:val="1"/>
          <w:sz w:val="24"/>
          <w:szCs w:val="24"/>
          <w:rtl w:val="0"/>
        </w:rPr>
        <w:t xml:space="preserve">l references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Brackett, David. 2014. </w:t>
      </w:r>
      <w:hyperlink r:id="rId24">
        <w:r w:rsidDel="00000000" w:rsidR="00000000" w:rsidRPr="00000000">
          <w:rPr>
            <w:rFonts w:ascii="Times New Roman" w:cs="Times New Roman" w:eastAsia="Times New Roman" w:hAnsi="Times New Roman"/>
            <w:color w:val="1155cc"/>
            <w:sz w:val="24"/>
            <w:szCs w:val="24"/>
            <w:u w:val="single"/>
            <w:rtl w:val="0"/>
          </w:rPr>
          <w:t xml:space="preserve">The Pop, Rock, and Soul Reader: Histories and Debates, Third Edition.</w:t>
        </w:r>
      </w:hyperlink>
      <w:r w:rsidDel="00000000" w:rsidR="00000000" w:rsidRPr="00000000">
        <w:rPr>
          <w:rFonts w:ascii="Times New Roman" w:cs="Times New Roman" w:eastAsia="Times New Roman" w:hAnsi="Times New Roman"/>
          <w:sz w:val="24"/>
          <w:szCs w:val="24"/>
          <w:rtl w:val="0"/>
        </w:rPr>
        <w:t xml:space="preserve"> New York: Oxford University Press.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Colletti, Carla R. 2013. </w:t>
      </w:r>
      <w:hyperlink r:id="rId25">
        <w:r w:rsidDel="00000000" w:rsidR="00000000" w:rsidRPr="00000000">
          <w:rPr>
            <w:rFonts w:ascii="Times New Roman" w:cs="Times New Roman" w:eastAsia="Times New Roman" w:hAnsi="Times New Roman"/>
            <w:color w:val="1155cc"/>
            <w:sz w:val="24"/>
            <w:szCs w:val="24"/>
            <w:u w:val="single"/>
            <w:rtl w:val="0"/>
          </w:rPr>
          <w:t xml:space="preserve">“The Silent Professor: Enhancing Student Engagement through the Conceptual Workshop.”</w:t>
        </w:r>
      </w:hyperlink>
      <w:r w:rsidDel="00000000" w:rsidR="00000000" w:rsidRPr="00000000">
        <w:rPr>
          <w:rFonts w:ascii="Times New Roman" w:cs="Times New Roman" w:eastAsia="Times New Roman" w:hAnsi="Times New Roman"/>
          <w:sz w:val="24"/>
          <w:szCs w:val="24"/>
          <w:rtl w:val="0"/>
        </w:rPr>
        <w:t xml:space="preserve"> In Engaging Students: Essays in Music Pedagogy, Vol. 1. Accessed July 16, 2015.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Finkel, Donald L. 2000. </w:t>
      </w:r>
      <w:hyperlink r:id="rId26">
        <w:r w:rsidDel="00000000" w:rsidR="00000000" w:rsidRPr="00000000">
          <w:rPr>
            <w:rFonts w:ascii="Times New Roman" w:cs="Times New Roman" w:eastAsia="Times New Roman" w:hAnsi="Times New Roman"/>
            <w:color w:val="1155cc"/>
            <w:sz w:val="24"/>
            <w:szCs w:val="24"/>
            <w:u w:val="single"/>
            <w:rtl w:val="0"/>
          </w:rPr>
          <w:t xml:space="preserve">Teaching with Your Mouth Shut.</w:t>
        </w:r>
      </w:hyperlink>
      <w:r w:rsidDel="00000000" w:rsidR="00000000" w:rsidRPr="00000000">
        <w:rPr>
          <w:rFonts w:ascii="Times New Roman" w:cs="Times New Roman" w:eastAsia="Times New Roman" w:hAnsi="Times New Roman"/>
          <w:sz w:val="24"/>
          <w:szCs w:val="24"/>
          <w:rtl w:val="0"/>
        </w:rPr>
        <w:t xml:space="preserve"> Portsmouth, NH: Boynton/Cook Publishers.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Gilroy, Paul. 1993. </w:t>
      </w:r>
      <w:hyperlink r:id="rId27">
        <w:r w:rsidDel="00000000" w:rsidR="00000000" w:rsidRPr="00000000">
          <w:rPr>
            <w:rFonts w:ascii="Times New Roman" w:cs="Times New Roman" w:eastAsia="Times New Roman" w:hAnsi="Times New Roman"/>
            <w:color w:val="1155cc"/>
            <w:sz w:val="24"/>
            <w:szCs w:val="24"/>
            <w:u w:val="single"/>
            <w:rtl w:val="0"/>
          </w:rPr>
          <w:t xml:space="preserve">The Black Atlantic: Modernity and Double Consciousness.</w:t>
        </w:r>
      </w:hyperlink>
      <w:r w:rsidDel="00000000" w:rsidR="00000000" w:rsidRPr="00000000">
        <w:rPr>
          <w:rFonts w:ascii="Times New Roman" w:cs="Times New Roman" w:eastAsia="Times New Roman" w:hAnsi="Times New Roman"/>
          <w:sz w:val="24"/>
          <w:szCs w:val="24"/>
          <w:rtl w:val="0"/>
        </w:rPr>
        <w:t xml:space="preserve"> Cambridge: Harvard University Press.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McGranahan, Carole. 2014.</w:t>
      </w:r>
      <w:hyperlink r:id="rId28">
        <w:r w:rsidDel="00000000" w:rsidR="00000000" w:rsidRPr="00000000">
          <w:rPr>
            <w:rFonts w:ascii="Times New Roman" w:cs="Times New Roman" w:eastAsia="Times New Roman" w:hAnsi="Times New Roman"/>
            <w:color w:val="1155cc"/>
            <w:sz w:val="24"/>
            <w:szCs w:val="24"/>
            <w:u w:val="single"/>
            <w:rtl w:val="0"/>
          </w:rPr>
          <w:t xml:space="preserve">“What is Ethnography? Teaching Ethnographic Sensibilities without Fieldwork.”</w:t>
        </w:r>
      </w:hyperlink>
      <w:r w:rsidDel="00000000" w:rsidR="00000000" w:rsidRPr="00000000">
        <w:rPr>
          <w:rFonts w:ascii="Times New Roman" w:cs="Times New Roman" w:eastAsia="Times New Roman" w:hAnsi="Times New Roman"/>
          <w:sz w:val="24"/>
          <w:szCs w:val="24"/>
          <w:rtl w:val="0"/>
        </w:rPr>
        <w:t xml:space="preserve"> Teaching Anthropology 4:23-36.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Moore, Robin D. 2010. </w:t>
      </w:r>
      <w:hyperlink r:id="rId29">
        <w:r w:rsidDel="00000000" w:rsidR="00000000" w:rsidRPr="00000000">
          <w:rPr>
            <w:rFonts w:ascii="Times New Roman" w:cs="Times New Roman" w:eastAsia="Times New Roman" w:hAnsi="Times New Roman"/>
            <w:color w:val="1155cc"/>
            <w:sz w:val="24"/>
            <w:szCs w:val="24"/>
            <w:u w:val="single"/>
            <w:rtl w:val="0"/>
          </w:rPr>
          <w:t xml:space="preserve">Music in the Hispanic Caribbean: Experiencing Music, Expressing Culture.</w:t>
        </w:r>
      </w:hyperlink>
      <w:r w:rsidDel="00000000" w:rsidR="00000000" w:rsidRPr="00000000">
        <w:rPr>
          <w:rFonts w:ascii="Times New Roman" w:cs="Times New Roman" w:eastAsia="Times New Roman" w:hAnsi="Times New Roman"/>
          <w:sz w:val="24"/>
          <w:szCs w:val="24"/>
          <w:rtl w:val="0"/>
        </w:rPr>
        <w:t xml:space="preserve"> New York: Oxford University Press.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Omi, Michael, and Howard Winant. 1994. </w:t>
      </w:r>
      <w:hyperlink r:id="rId30">
        <w:r w:rsidDel="00000000" w:rsidR="00000000" w:rsidRPr="00000000">
          <w:rPr>
            <w:rFonts w:ascii="Times New Roman" w:cs="Times New Roman" w:eastAsia="Times New Roman" w:hAnsi="Times New Roman"/>
            <w:color w:val="1155cc"/>
            <w:sz w:val="24"/>
            <w:szCs w:val="24"/>
            <w:u w:val="single"/>
            <w:rtl w:val="0"/>
          </w:rPr>
          <w:t xml:space="preserve">Racial Formation in the United States: From the 1960s to the 1990s.</w:t>
        </w:r>
      </w:hyperlink>
      <w:r w:rsidDel="00000000" w:rsidR="00000000" w:rsidRPr="00000000">
        <w:rPr>
          <w:rFonts w:ascii="Times New Roman" w:cs="Times New Roman" w:eastAsia="Times New Roman" w:hAnsi="Times New Roman"/>
          <w:sz w:val="24"/>
          <w:szCs w:val="24"/>
          <w:rtl w:val="0"/>
        </w:rPr>
        <w:t xml:space="preserve"> New York: Routledge.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hyperlink r:id="rId31">
        <w:r w:rsidDel="00000000" w:rsidR="00000000" w:rsidRPr="00000000">
          <w:rPr>
            <w:rFonts w:ascii="Times New Roman" w:cs="Times New Roman" w:eastAsia="Times New Roman" w:hAnsi="Times New Roman"/>
            <w:color w:val="1155cc"/>
            <w:sz w:val="24"/>
            <w:szCs w:val="24"/>
            <w:u w:val="single"/>
            <w:rtl w:val="0"/>
          </w:rPr>
          <w:t xml:space="preserve">“Writing Objectives Using Bloom's Taxonomy.”</w:t>
        </w:r>
      </w:hyperlink>
      <w:r w:rsidDel="00000000" w:rsidR="00000000" w:rsidRPr="00000000">
        <w:rPr>
          <w:rFonts w:ascii="Times New Roman" w:cs="Times New Roman" w:eastAsia="Times New Roman" w:hAnsi="Times New Roman"/>
          <w:sz w:val="24"/>
          <w:szCs w:val="24"/>
          <w:rtl w:val="0"/>
        </w:rPr>
        <w:t xml:space="preserve"> 2015. The Center for Teaching and Learning, The University of North Carolina at Charlotte. Accessed May 12,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333333"/>
          <w:sz w:val="24"/>
          <w:szCs w:val="24"/>
          <w:shd w:fill="f8f8f8" w:val="clear"/>
          <w:rtl w:val="0"/>
        </w:rPr>
        <w:t xml:space="preserve">This work is copyright ⓒ2015 Amanda L Scherbenske and licensed under a </w:t>
      </w:r>
      <w:hyperlink r:id="rId32">
        <w:r w:rsidDel="00000000" w:rsidR="00000000" w:rsidRPr="00000000">
          <w:rPr>
            <w:color w:val="428bca"/>
            <w:sz w:val="24"/>
            <w:szCs w:val="24"/>
            <w:shd w:fill="f8f8f8" w:val="clear"/>
            <w:rtl w:val="0"/>
          </w:rPr>
          <w:t xml:space="preserve">Creative Commons Attribution-ShareAlike 3.0 Unported License</w:t>
        </w:r>
      </w:hyperlink>
      <w:r w:rsidDel="00000000" w:rsidR="00000000" w:rsidRPr="00000000">
        <w:rPr>
          <w:color w:val="333333"/>
          <w:sz w:val="24"/>
          <w:szCs w:val="24"/>
          <w:shd w:fill="f8f8f8" w:val="clear"/>
          <w:rtl w:val="0"/>
        </w:rPr>
        <w:t xml:space="preserve">.</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arla Colletti" w:id="0" w:date="2015-07-26T22:52: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I've made some formatting edits below.  Also, can you provide hyperlinks for each of the sources?</w:t>
      </w:r>
    </w:p>
  </w:comment>
  <w:comment w:author="Amanda L Scherbenske" w:id="1" w:date="2015-07-26T03:07: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w:t>
      </w:r>
    </w:p>
  </w:comment>
  <w:comment w:author="Carla Colletti" w:id="2" w:date="2015-07-26T21:26: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 for providing links.  I went through and applied the links to the titles of the sources rather than the full citation.</w:t>
      </w:r>
    </w:p>
  </w:comment>
  <w:comment w:author="Carla Colletti" w:id="3" w:date="2015-07-26T21:26: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_Marked as resolved_</w:t>
      </w:r>
    </w:p>
  </w:comment>
  <w:comment w:author="Amanda L Scherbenske" w:id="4" w:date="2015-07-26T22:51: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_Re-opened_</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Super.</w:t>
      </w:r>
    </w:p>
  </w:comment>
  <w:comment w:author="Amanda L Scherbenske" w:id="5" w:date="2015-07-26T22:52: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 you.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openlibrary.org/works/OL3521227W/The_Pop_Rock_and_Soul_Reader" TargetMode="External"/><Relationship Id="rId22" Type="http://schemas.openxmlformats.org/officeDocument/2006/relationships/hyperlink" Target="https://docs.google.com/document/d/1f85EIjN2WFAbUBgsmbBx0XYOboUX2bNEHkxWFwbvbok/edit" TargetMode="External"/><Relationship Id="rId21" Type="http://schemas.openxmlformats.org/officeDocument/2006/relationships/hyperlink" Target="https://openlibrary.org/works/OL3521227W/The_Pop_Rock_and_Soul_Reader" TargetMode="External"/><Relationship Id="rId24" Type="http://schemas.openxmlformats.org/officeDocument/2006/relationships/hyperlink" Target="https://openlibrary.org/works/OL3521227W/The_Pop_Rock_and_Soul_Reader" TargetMode="External"/><Relationship Id="rId23" Type="http://schemas.openxmlformats.org/officeDocument/2006/relationships/hyperlink" Target="http://www.teachinganthropology.org/index.php/teach_anth/article/view/421/pdf_16"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library.org/works/OL3493342W/Teaching_with_Your_Mouth_Shut" TargetMode="External"/><Relationship Id="rId26" Type="http://schemas.openxmlformats.org/officeDocument/2006/relationships/hyperlink" Target="https://openlibrary.org/works/OL3493342W/Teaching_with_Your_Mouth_Shut" TargetMode="External"/><Relationship Id="rId25" Type="http://schemas.openxmlformats.org/officeDocument/2006/relationships/hyperlink" Target="http://flipcamp.org/engagingstudents/colletti.html" TargetMode="External"/><Relationship Id="rId28" Type="http://schemas.openxmlformats.org/officeDocument/2006/relationships/hyperlink" Target="http://www.teachinganthropology.org/index.php/teach_anth/article/view/421/pdf_16" TargetMode="External"/><Relationship Id="rId27" Type="http://schemas.openxmlformats.org/officeDocument/2006/relationships/hyperlink" Target="https://openlibrary.org/works/OL3920181W/The_black_Atlantic" TargetMode="External"/><Relationship Id="rId5" Type="http://schemas.openxmlformats.org/officeDocument/2006/relationships/styles" Target="styles.xml"/><Relationship Id="rId6" Type="http://schemas.openxmlformats.org/officeDocument/2006/relationships/hyperlink" Target="http://www.teachinganthropology.org/index.php/teach_anth/article/view/421/pdf_16" TargetMode="External"/><Relationship Id="rId29" Type="http://schemas.openxmlformats.org/officeDocument/2006/relationships/hyperlink" Target="https://openlibrary.org/works/OL2678433W/Music_in_the_Hispanic_Caribbean" TargetMode="External"/><Relationship Id="rId7" Type="http://schemas.openxmlformats.org/officeDocument/2006/relationships/hyperlink" Target="http://flipcamp.org/engagingstudents/colletti.html" TargetMode="External"/><Relationship Id="rId8" Type="http://schemas.openxmlformats.org/officeDocument/2006/relationships/hyperlink" Target="http://flipcamp.org/engagingstudents/colletti.html" TargetMode="External"/><Relationship Id="rId31" Type="http://schemas.openxmlformats.org/officeDocument/2006/relationships/hyperlink" Target="http://teaching.uncc.edu/learning-resources/articles-books/best-practice/goals-objectives/writing-objectives" TargetMode="External"/><Relationship Id="rId30" Type="http://schemas.openxmlformats.org/officeDocument/2006/relationships/hyperlink" Target="https://openlibrary.org/works/OL3417522W/Racial_formation_in_the_United_States" TargetMode="External"/><Relationship Id="rId11" Type="http://schemas.openxmlformats.org/officeDocument/2006/relationships/hyperlink" Target="https://docs.google.com/document/d/1sSTp-TPaSQ86v-hhF9aJtv0nYVcILrHuO-EbS--55dE/edit" TargetMode="External"/><Relationship Id="rId10" Type="http://schemas.openxmlformats.org/officeDocument/2006/relationships/hyperlink" Target="https://openlibrary.org/works/OL3493342W/Teaching_with_Your_Mouth_Shut" TargetMode="External"/><Relationship Id="rId32" Type="http://schemas.openxmlformats.org/officeDocument/2006/relationships/hyperlink" Target="http://creativecommons.org/licenses/by-sa/3.0/" TargetMode="External"/><Relationship Id="rId13" Type="http://schemas.openxmlformats.org/officeDocument/2006/relationships/hyperlink" Target="https://openlibrary.org/works/OL3920181W/The_black_Atlantic" TargetMode="External"/><Relationship Id="rId12" Type="http://schemas.openxmlformats.org/officeDocument/2006/relationships/hyperlink" Target="https://openlibrary.org/works/OL3920181W/The_black_Atlantic" TargetMode="External"/><Relationship Id="rId15" Type="http://schemas.openxmlformats.org/officeDocument/2006/relationships/hyperlink" Target="https://openlibrary.org/works/OL2678433W/Music_in_the_Hispanic_Caribbean" TargetMode="External"/><Relationship Id="rId14" Type="http://schemas.openxmlformats.org/officeDocument/2006/relationships/hyperlink" Target="https://openlibrary.org/works/OL2678433W/Music_in_the_Hispanic_Caribbean" TargetMode="External"/><Relationship Id="rId17" Type="http://schemas.openxmlformats.org/officeDocument/2006/relationships/hyperlink" Target="https://openlibrary.org/works/OL3417522W/Racial_formation_in_the_United_States" TargetMode="External"/><Relationship Id="rId16" Type="http://schemas.openxmlformats.org/officeDocument/2006/relationships/hyperlink" Target="https://openlibrary.org/works/OL3417522W/Racial_formation_in_the_United_States" TargetMode="External"/><Relationship Id="rId19" Type="http://schemas.openxmlformats.org/officeDocument/2006/relationships/hyperlink" Target="http://teaching.uncc.edu/learning-resources/articles-books/best-practice/goals-objectives/writing-objectives" TargetMode="External"/><Relationship Id="rId18" Type="http://schemas.openxmlformats.org/officeDocument/2006/relationships/hyperlink" Target="http://teaching.uncc.edu/learning-resources/articles-books/best-practice/goals-objectives/writing-objectives" TargetMode="External"/></Relationships>
</file>