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7C38B" w14:textId="451F82F5" w:rsidR="008038F1" w:rsidRPr="004D2970" w:rsidRDefault="004D2970" w:rsidP="004D2970">
      <w:pPr>
        <w:spacing w:before="100" w:beforeAutospacing="1"/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D2970">
        <w:rPr>
          <w:rFonts w:ascii="Times New Roman" w:hAnsi="Times New Roman" w:cs="Times New Roman"/>
          <w:b/>
          <w:sz w:val="22"/>
          <w:szCs w:val="22"/>
        </w:rPr>
        <w:t>Sonata Form Chart</w:t>
      </w:r>
    </w:p>
    <w:p w14:paraId="1E4F694B" w14:textId="77777777" w:rsidR="004D2970" w:rsidRDefault="004D2970" w:rsidP="00A034B8">
      <w:pPr>
        <w:spacing w:before="100" w:beforeAutospacing="1"/>
        <w:contextualSpacing/>
        <w:rPr>
          <w:rFonts w:ascii="Times New Roman" w:hAnsi="Times New Roman" w:cs="Times New Roman"/>
          <w:sz w:val="22"/>
          <w:szCs w:val="22"/>
        </w:rPr>
      </w:pPr>
    </w:p>
    <w:p w14:paraId="67871AE4" w14:textId="77777777" w:rsidR="004D2970" w:rsidRPr="00812355" w:rsidRDefault="004D2970" w:rsidP="00A034B8">
      <w:pPr>
        <w:spacing w:before="100" w:beforeAutospacing="1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6120"/>
      </w:tblGrid>
      <w:tr w:rsidR="008038F1" w:rsidRPr="00812355" w14:paraId="2F7BDB97" w14:textId="77777777" w:rsidTr="0094070C">
        <w:tc>
          <w:tcPr>
            <w:tcW w:w="3258" w:type="dxa"/>
          </w:tcPr>
          <w:p w14:paraId="75757B84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b/>
                <w:sz w:val="22"/>
                <w:szCs w:val="22"/>
              </w:rPr>
              <w:t>Section:</w:t>
            </w:r>
          </w:p>
        </w:tc>
        <w:tc>
          <w:tcPr>
            <w:tcW w:w="1530" w:type="dxa"/>
          </w:tcPr>
          <w:p w14:paraId="371076DB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b/>
                <w:sz w:val="22"/>
                <w:szCs w:val="22"/>
              </w:rPr>
              <w:t>Starting time of the section:</w:t>
            </w:r>
          </w:p>
        </w:tc>
        <w:tc>
          <w:tcPr>
            <w:tcW w:w="6120" w:type="dxa"/>
          </w:tcPr>
          <w:p w14:paraId="0DAC8BCC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b/>
                <w:sz w:val="22"/>
                <w:szCs w:val="22"/>
              </w:rPr>
              <w:t>Comments:</w:t>
            </w:r>
          </w:p>
        </w:tc>
      </w:tr>
      <w:tr w:rsidR="008038F1" w:rsidRPr="00812355" w14:paraId="3DE5584D" w14:textId="77777777" w:rsidTr="0094070C">
        <w:tc>
          <w:tcPr>
            <w:tcW w:w="3258" w:type="dxa"/>
          </w:tcPr>
          <w:p w14:paraId="3B365C28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Slow introduction</w:t>
            </w:r>
            <w:r w:rsidR="002A3C81"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097F60" w:rsidRPr="00812355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2A3C81" w:rsidRPr="0081235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DA3F876" w14:textId="67863240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67FA114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5370C7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7CFB89A4" w14:textId="77777777" w:rsidR="008038F1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1A6D72" w14:textId="77777777" w:rsidR="0060411F" w:rsidRPr="00812355" w:rsidRDefault="0060411F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8F1" w:rsidRPr="00812355" w14:paraId="58719122" w14:textId="77777777" w:rsidTr="0094070C">
        <w:tc>
          <w:tcPr>
            <w:tcW w:w="3258" w:type="dxa"/>
          </w:tcPr>
          <w:p w14:paraId="06F91EBB" w14:textId="390B901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Exposition’s </w:t>
            </w:r>
            <w:r w:rsidR="004805B1" w:rsidRPr="00812355">
              <w:rPr>
                <w:rFonts w:ascii="Times New Roman" w:hAnsi="Times New Roman" w:cs="Times New Roman"/>
                <w:sz w:val="22"/>
                <w:szCs w:val="22"/>
              </w:rPr>
              <w:t>primary zone</w:t>
            </w:r>
          </w:p>
          <w:p w14:paraId="1E1CAF4C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794A0E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21ACAE3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E62B19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40414ED6" w14:textId="599AC4B4" w:rsidR="008038F1" w:rsidRPr="00812355" w:rsidRDefault="00D25DBD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Circle one: The primary zone is in the major mode/minor mode</w:t>
            </w:r>
            <w:r w:rsidR="00174669" w:rsidRPr="0081235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D7DB566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592A3B" w14:textId="77777777" w:rsidR="0060411F" w:rsidRDefault="00A034B8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Describe the exposition’s primary zone. Is it a phrase</w:t>
            </w:r>
            <w:r w:rsidR="0094070C">
              <w:rPr>
                <w:rFonts w:ascii="Times New Roman" w:hAnsi="Times New Roman" w:cs="Times New Roman"/>
                <w:sz w:val="22"/>
                <w:szCs w:val="22"/>
              </w:rPr>
              <w:t xml:space="preserve"> (if so, is it a sentence?), </w:t>
            </w: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a period, or something else? </w:t>
            </w:r>
          </w:p>
          <w:p w14:paraId="44C8D68C" w14:textId="77777777" w:rsidR="0060411F" w:rsidRDefault="0060411F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DB9EE9" w14:textId="77777777" w:rsidR="0060411F" w:rsidRDefault="0060411F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1335DD" w14:textId="60B61823" w:rsidR="00A034B8" w:rsidRDefault="00A034B8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Identify the cadences you hear in t</w:t>
            </w:r>
            <w:r w:rsidR="00812355">
              <w:rPr>
                <w:rFonts w:ascii="Times New Roman" w:hAnsi="Times New Roman" w:cs="Times New Roman"/>
                <w:sz w:val="22"/>
                <w:szCs w:val="22"/>
              </w:rPr>
              <w:t>he primary zone and their times:</w:t>
            </w:r>
          </w:p>
          <w:p w14:paraId="0D3D3D4C" w14:textId="77777777" w:rsidR="00FE4231" w:rsidRPr="00812355" w:rsidRDefault="00FE4231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10469C" w14:textId="247A305A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8F1" w:rsidRPr="00812355" w14:paraId="169BBCDA" w14:textId="77777777" w:rsidTr="0094070C">
        <w:tc>
          <w:tcPr>
            <w:tcW w:w="3258" w:type="dxa"/>
          </w:tcPr>
          <w:p w14:paraId="17D9A39D" w14:textId="7FF37872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Exposition’s transition</w:t>
            </w:r>
          </w:p>
        </w:tc>
        <w:tc>
          <w:tcPr>
            <w:tcW w:w="1530" w:type="dxa"/>
          </w:tcPr>
          <w:p w14:paraId="136684D8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5F031EE5" w14:textId="2712577E" w:rsidR="008038F1" w:rsidRPr="00812355" w:rsidRDefault="00BF19EE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Is the transition i</w:t>
            </w:r>
            <w:r w:rsidR="008038F1"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ndependent or </w:t>
            </w: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8038F1" w:rsidRPr="00812355">
              <w:rPr>
                <w:rFonts w:ascii="Times New Roman" w:hAnsi="Times New Roman" w:cs="Times New Roman"/>
                <w:sz w:val="22"/>
                <w:szCs w:val="22"/>
              </w:rPr>
              <w:t>ependent?</w:t>
            </w:r>
          </w:p>
          <w:p w14:paraId="7EE1ED3C" w14:textId="77777777" w:rsidR="0067063F" w:rsidRPr="00812355" w:rsidRDefault="0067063F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A5B012" w14:textId="44AECFE2" w:rsidR="00E977B4" w:rsidRDefault="00174669" w:rsidP="0094070C">
            <w:pPr>
              <w:spacing w:before="100" w:beforeAutospacing="1"/>
              <w:ind w:right="-108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Describe the </w:t>
            </w:r>
            <w:r w:rsidR="00FE4231">
              <w:rPr>
                <w:rFonts w:ascii="Times New Roman" w:hAnsi="Times New Roman" w:cs="Times New Roman"/>
                <w:sz w:val="22"/>
                <w:szCs w:val="22"/>
              </w:rPr>
              <w:t xml:space="preserve">approach to the </w:t>
            </w: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medial caesura</w:t>
            </w:r>
            <w:r w:rsidR="00A017A8">
              <w:rPr>
                <w:rFonts w:ascii="Times New Roman" w:hAnsi="Times New Roman" w:cs="Times New Roman"/>
                <w:sz w:val="22"/>
                <w:szCs w:val="22"/>
              </w:rPr>
              <w:t>. O</w:t>
            </w:r>
            <w:r w:rsidR="004437E4">
              <w:rPr>
                <w:rFonts w:ascii="Times New Roman" w:hAnsi="Times New Roman" w:cs="Times New Roman"/>
                <w:sz w:val="22"/>
                <w:szCs w:val="22"/>
              </w:rPr>
              <w:t xml:space="preserve">ptions include: </w:t>
            </w:r>
            <w:proofErr w:type="spellStart"/>
            <w:r w:rsidR="0094070C">
              <w:rPr>
                <w:rFonts w:ascii="Times New Roman" w:hAnsi="Times New Roman" w:cs="Times New Roman"/>
                <w:sz w:val="22"/>
                <w:szCs w:val="22"/>
              </w:rPr>
              <w:t>fa</w:t>
            </w:r>
            <w:proofErr w:type="spellEnd"/>
            <w:r w:rsidR="0094070C">
              <w:rPr>
                <w:rFonts w:ascii="Times New Roman" w:hAnsi="Times New Roman" w:cs="Times New Roman"/>
                <w:sz w:val="22"/>
                <w:szCs w:val="22"/>
              </w:rPr>
              <w:t xml:space="preserve">-fi-sol, a dominant lock, hammer blows, a general pause, </w:t>
            </w:r>
            <w:r w:rsidR="00F307F2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="0094070C">
              <w:rPr>
                <w:rFonts w:ascii="Times New Roman" w:hAnsi="Times New Roman" w:cs="Times New Roman"/>
                <w:sz w:val="22"/>
                <w:szCs w:val="22"/>
              </w:rPr>
              <w:t xml:space="preserve"> caesura-fill</w:t>
            </w:r>
            <w:r w:rsidR="00A017A8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B42DC8">
              <w:rPr>
                <w:rFonts w:ascii="Times New Roman" w:hAnsi="Times New Roman" w:cs="Times New Roman"/>
                <w:sz w:val="22"/>
                <w:szCs w:val="22"/>
              </w:rPr>
              <w:t>choose all that apply</w:t>
            </w:r>
            <w:r w:rsidR="00A017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FE423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01654E67" w14:textId="77777777" w:rsidR="00FE4231" w:rsidRPr="00812355" w:rsidRDefault="00FE423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87CC64" w14:textId="77777777" w:rsidR="004805B1" w:rsidRPr="00812355" w:rsidRDefault="004805B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D42765" w14:textId="49A81F92" w:rsidR="00FE4231" w:rsidRDefault="00FE4231" w:rsidP="00FE4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Identify the cadence </w:t>
            </w:r>
            <w:r w:rsidR="0094070C">
              <w:rPr>
                <w:rFonts w:ascii="Times New Roman" w:hAnsi="Times New Roman" w:cs="Times New Roman"/>
                <w:sz w:val="22"/>
                <w:szCs w:val="22"/>
              </w:rPr>
              <w:t>that precedes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the medial caesura </w:t>
            </w:r>
            <w:r w:rsidR="004805B1"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(HC in tonic,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HC in the new key, or something else):</w:t>
            </w:r>
          </w:p>
          <w:p w14:paraId="74F22F15" w14:textId="77777777" w:rsidR="00FE4231" w:rsidRDefault="00FE4231" w:rsidP="00FE423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BD9F79" w14:textId="2CF84E92" w:rsidR="00812355" w:rsidRPr="00812355" w:rsidRDefault="00FE4231" w:rsidP="00FE423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038F1" w:rsidRPr="00812355" w14:paraId="3A350656" w14:textId="77777777" w:rsidTr="0094070C">
        <w:tc>
          <w:tcPr>
            <w:tcW w:w="3258" w:type="dxa"/>
          </w:tcPr>
          <w:p w14:paraId="5403CBA3" w14:textId="605AC5B8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Exposition’s </w:t>
            </w:r>
            <w:r w:rsidR="004805B1" w:rsidRPr="00812355">
              <w:rPr>
                <w:rFonts w:ascii="Times New Roman" w:hAnsi="Times New Roman" w:cs="Times New Roman"/>
                <w:sz w:val="22"/>
                <w:szCs w:val="22"/>
              </w:rPr>
              <w:t>secondary zone</w:t>
            </w:r>
          </w:p>
          <w:p w14:paraId="5DE8BF3A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A8AD24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50735E4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AB3063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173BB1D7" w14:textId="01DEC15D" w:rsidR="00174669" w:rsidRDefault="004B49B0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is the key of the</w:t>
            </w:r>
            <w:r w:rsidR="00864DB1">
              <w:rPr>
                <w:rFonts w:ascii="Times New Roman" w:hAnsi="Times New Roman" w:cs="Times New Roman"/>
                <w:sz w:val="22"/>
                <w:szCs w:val="22"/>
              </w:rPr>
              <w:t xml:space="preserve"> secondary zone? </w:t>
            </w:r>
            <w:r w:rsidR="00D57DE0">
              <w:rPr>
                <w:rFonts w:ascii="Times New Roman" w:hAnsi="Times New Roman" w:cs="Times New Roman"/>
                <w:sz w:val="22"/>
                <w:szCs w:val="22"/>
              </w:rPr>
              <w:t>Remember, i</w:t>
            </w:r>
            <w:r w:rsidR="00174669" w:rsidRPr="00812355">
              <w:rPr>
                <w:rFonts w:ascii="Times New Roman" w:hAnsi="Times New Roman" w:cs="Times New Roman"/>
                <w:sz w:val="22"/>
                <w:szCs w:val="22"/>
              </w:rPr>
              <w:t>f the primary zone is in major, the secondary zone is often in V.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74669" w:rsidRPr="00812355">
              <w:rPr>
                <w:rFonts w:ascii="Times New Roman" w:hAnsi="Times New Roman" w:cs="Times New Roman"/>
                <w:sz w:val="22"/>
                <w:szCs w:val="22"/>
              </w:rPr>
              <w:t>If the primary zone is in minor, the secondary zone is often in III</w:t>
            </w:r>
            <w:r w:rsidR="001A2E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64DB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1A2E41">
              <w:rPr>
                <w:rFonts w:ascii="Times New Roman" w:hAnsi="Times New Roman" w:cs="Times New Roman"/>
                <w:sz w:val="22"/>
                <w:szCs w:val="22"/>
              </w:rPr>
              <w:t>or v</w:t>
            </w:r>
            <w:r w:rsidR="00864DB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74669" w:rsidRPr="0081235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67D64F7" w14:textId="77777777" w:rsidR="00FE4231" w:rsidRDefault="00FE423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8C0F25" w14:textId="77777777" w:rsidR="004B49B0" w:rsidRDefault="004B49B0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5732CF" w14:textId="000B0770" w:rsidR="004B49B0" w:rsidRDefault="00864DB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Does the secondary zone have a clear formal design? If so, what is it?</w:t>
            </w:r>
          </w:p>
          <w:p w14:paraId="1616DFB1" w14:textId="77777777" w:rsidR="00A034B8" w:rsidRPr="00812355" w:rsidRDefault="00A034B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903450" w14:textId="4FF3AE4A" w:rsidR="00A034B8" w:rsidRPr="00812355" w:rsidRDefault="00A034B8" w:rsidP="004B49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At what time does the EEC occur?</w:t>
            </w:r>
          </w:p>
          <w:p w14:paraId="726C2785" w14:textId="77777777" w:rsidR="00174669" w:rsidRPr="00812355" w:rsidRDefault="00174669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8F1" w:rsidRPr="00812355" w14:paraId="7D063073" w14:textId="77777777" w:rsidTr="0094070C">
        <w:tc>
          <w:tcPr>
            <w:tcW w:w="3258" w:type="dxa"/>
          </w:tcPr>
          <w:p w14:paraId="30A80CA6" w14:textId="752DB3CA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Exposition’s </w:t>
            </w:r>
            <w:r w:rsidR="004805B1" w:rsidRPr="00812355">
              <w:rPr>
                <w:rFonts w:ascii="Times New Roman" w:hAnsi="Times New Roman" w:cs="Times New Roman"/>
                <w:sz w:val="22"/>
                <w:szCs w:val="22"/>
              </w:rPr>
              <w:t>closing zone</w:t>
            </w:r>
          </w:p>
          <w:p w14:paraId="35C1911C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40F62C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30C32A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BBD92E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3369E820" w14:textId="0F874958" w:rsidR="00A034B8" w:rsidRDefault="00B451D9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 the exposition’s closing zone</w:t>
            </w:r>
            <w:r w:rsidR="00A034B8"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based on the primary theme or new material? </w:t>
            </w:r>
          </w:p>
          <w:p w14:paraId="33971D44" w14:textId="77777777" w:rsidR="00FE4231" w:rsidRPr="00812355" w:rsidRDefault="00FE4231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688F93" w14:textId="77777777" w:rsidR="00A034B8" w:rsidRPr="00812355" w:rsidRDefault="00A034B8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9ACC43" w14:textId="77D66D99" w:rsidR="00A034B8" w:rsidRDefault="00B451D9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Does it have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retransition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? If so, when?</w:t>
            </w:r>
          </w:p>
          <w:p w14:paraId="4BA0DAAE" w14:textId="77777777" w:rsidR="00FE4231" w:rsidRPr="00812355" w:rsidRDefault="00FE4231" w:rsidP="00A03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879905" w14:textId="3B36766C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A3C81" w:rsidRPr="00812355" w14:paraId="580803A2" w14:textId="77777777" w:rsidTr="0094070C">
        <w:tc>
          <w:tcPr>
            <w:tcW w:w="3258" w:type="dxa"/>
          </w:tcPr>
          <w:p w14:paraId="39FA0D61" w14:textId="77777777" w:rsidR="002A3C81" w:rsidRPr="00812355" w:rsidRDefault="002A3C8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Repeat of the exposition (?)</w:t>
            </w:r>
          </w:p>
          <w:p w14:paraId="600490F7" w14:textId="56990A1C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A3A4F10" w14:textId="77777777" w:rsidR="002A3C81" w:rsidRPr="00812355" w:rsidRDefault="002A3C8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19F7F1E8" w14:textId="77777777" w:rsidR="002A3C81" w:rsidRPr="00812355" w:rsidRDefault="002A3C8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8F1" w:rsidRPr="00812355" w14:paraId="4300B675" w14:textId="77777777" w:rsidTr="0094070C">
        <w:tc>
          <w:tcPr>
            <w:tcW w:w="3258" w:type="dxa"/>
          </w:tcPr>
          <w:p w14:paraId="717DB199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Development</w:t>
            </w:r>
          </w:p>
        </w:tc>
        <w:tc>
          <w:tcPr>
            <w:tcW w:w="1530" w:type="dxa"/>
          </w:tcPr>
          <w:p w14:paraId="7E13244D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64A990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1EE3E615" w14:textId="4DF9E47D" w:rsidR="004805B1" w:rsidRPr="00812355" w:rsidRDefault="004805B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Which themes from the E</w:t>
            </w:r>
            <w:r w:rsidR="00B36C4B" w:rsidRPr="00812355">
              <w:rPr>
                <w:rFonts w:ascii="Times New Roman" w:hAnsi="Times New Roman" w:cs="Times New Roman"/>
                <w:sz w:val="22"/>
                <w:szCs w:val="22"/>
              </w:rPr>
              <w:t>xposition a</w:t>
            </w:r>
            <w:r w:rsidR="00BF19EE" w:rsidRPr="00812355">
              <w:rPr>
                <w:rFonts w:ascii="Times New Roman" w:hAnsi="Times New Roman" w:cs="Times New Roman"/>
                <w:sz w:val="22"/>
                <w:szCs w:val="22"/>
              </w:rPr>
              <w:t>re used within</w:t>
            </w:r>
            <w:r w:rsidR="0094070C">
              <w:rPr>
                <w:rFonts w:ascii="Times New Roman" w:hAnsi="Times New Roman" w:cs="Times New Roman"/>
                <w:sz w:val="22"/>
                <w:szCs w:val="22"/>
              </w:rPr>
              <w:t xml:space="preserve"> the Development? W</w:t>
            </w:r>
            <w:r w:rsidR="00BF19EE" w:rsidRPr="00812355">
              <w:rPr>
                <w:rFonts w:ascii="Times New Roman" w:hAnsi="Times New Roman" w:cs="Times New Roman"/>
                <w:sz w:val="22"/>
                <w:szCs w:val="22"/>
              </w:rPr>
              <w:t>rite the theme and the time you hear it:</w:t>
            </w:r>
          </w:p>
          <w:p w14:paraId="69AE9B79" w14:textId="77777777" w:rsidR="004805B1" w:rsidRPr="00812355" w:rsidRDefault="004805B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F04EFB" w14:textId="77777777" w:rsidR="00BF19EE" w:rsidRPr="00812355" w:rsidRDefault="00BF19EE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FD6A74" w14:textId="79C7FBD0" w:rsidR="004B49B0" w:rsidRDefault="0094070C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Are there any</w:t>
            </w:r>
            <w:r w:rsidR="00E977B4"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new themes? If so, when?</w:t>
            </w:r>
          </w:p>
          <w:p w14:paraId="1240664A" w14:textId="77777777" w:rsidR="00FE4231" w:rsidRDefault="00FE423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DD076E" w14:textId="77777777" w:rsidR="004B49B0" w:rsidRDefault="004B49B0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72B951" w14:textId="6E3C0E4C" w:rsidR="004B49B0" w:rsidRDefault="004B49B0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Are there any harmonic sequences? If so, when?</w:t>
            </w:r>
          </w:p>
          <w:p w14:paraId="739AB557" w14:textId="77777777" w:rsidR="004B49B0" w:rsidRPr="00812355" w:rsidRDefault="004B49B0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C9E271" w14:textId="028E19AD" w:rsidR="004D2970" w:rsidRPr="00812355" w:rsidRDefault="004D2970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8F1" w:rsidRPr="00812355" w14:paraId="71E47690" w14:textId="77777777" w:rsidTr="00F307F2">
        <w:tc>
          <w:tcPr>
            <w:tcW w:w="3258" w:type="dxa"/>
          </w:tcPr>
          <w:p w14:paraId="799F616F" w14:textId="0E35E38B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235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Retransition</w:t>
            </w:r>
            <w:proofErr w:type="spellEnd"/>
          </w:p>
          <w:p w14:paraId="7269E358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648332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409BCB9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9A01D0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03446507" w14:textId="114E0D89" w:rsidR="008038F1" w:rsidRPr="00812355" w:rsidRDefault="004B49B0" w:rsidP="0094070C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Does the </w:t>
            </w:r>
            <w:r w:rsidR="0094070C">
              <w:rPr>
                <w:rFonts w:ascii="Times New Roman" w:hAnsi="Times New Roman" w:cs="Times New Roman"/>
                <w:sz w:val="22"/>
                <w:szCs w:val="22"/>
              </w:rPr>
              <w:t>development end with 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dominant lock? If so, when?</w:t>
            </w:r>
          </w:p>
        </w:tc>
      </w:tr>
      <w:tr w:rsidR="00F307F2" w:rsidRPr="00812355" w14:paraId="459A7A32" w14:textId="77777777" w:rsidTr="00F307F2">
        <w:tc>
          <w:tcPr>
            <w:tcW w:w="3258" w:type="dxa"/>
          </w:tcPr>
          <w:p w14:paraId="2B1CF799" w14:textId="7E5BE4F9" w:rsidR="00F307F2" w:rsidRPr="00812355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Recapitulation’s primary zone</w:t>
            </w:r>
          </w:p>
        </w:tc>
        <w:tc>
          <w:tcPr>
            <w:tcW w:w="1530" w:type="dxa"/>
          </w:tcPr>
          <w:p w14:paraId="115372FD" w14:textId="77777777" w:rsidR="00F307F2" w:rsidRPr="00812355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  <w:tcBorders>
              <w:bottom w:val="nil"/>
            </w:tcBorders>
          </w:tcPr>
          <w:p w14:paraId="692AF3B8" w14:textId="6AED187C" w:rsidR="00F307F2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following questions apply to the entire recapitulation (not just the recapitulation’s primary zone):</w:t>
            </w:r>
          </w:p>
          <w:p w14:paraId="24D12B62" w14:textId="77777777" w:rsidR="000676D7" w:rsidRDefault="000676D7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6F158C" w14:textId="77777777" w:rsidR="00F307F2" w:rsidRDefault="00F307F2" w:rsidP="0094070C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307F2" w:rsidRPr="00812355" w14:paraId="7177941D" w14:textId="77777777" w:rsidTr="00F307F2">
        <w:tc>
          <w:tcPr>
            <w:tcW w:w="3258" w:type="dxa"/>
          </w:tcPr>
          <w:p w14:paraId="4E9371A5" w14:textId="77777777" w:rsidR="00F307F2" w:rsidRPr="00812355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Recapitulation’s transition</w:t>
            </w:r>
          </w:p>
          <w:p w14:paraId="3D52F002" w14:textId="77777777" w:rsidR="00F307F2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1CE41BD" w14:textId="77777777" w:rsidR="00F307F2" w:rsidRPr="00812355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nil"/>
              <w:bottom w:val="nil"/>
            </w:tcBorders>
          </w:tcPr>
          <w:p w14:paraId="019E1494" w14:textId="77777777" w:rsidR="00F307F2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Listen</w:t>
            </w: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for the ways that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recapitulation</w:t>
            </w: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be different fr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om the exposition. For example, at what time does the recapitulation first diverge from the exposition’s model? </w:t>
            </w:r>
          </w:p>
          <w:p w14:paraId="50BCAE4D" w14:textId="77777777" w:rsidR="00F307F2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307F2" w:rsidRPr="00812355" w14:paraId="6604C4DF" w14:textId="77777777" w:rsidTr="00F307F2">
        <w:tc>
          <w:tcPr>
            <w:tcW w:w="3258" w:type="dxa"/>
          </w:tcPr>
          <w:p w14:paraId="68A8753F" w14:textId="77777777" w:rsidR="00F307F2" w:rsidRPr="00812355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Recapitulation’s secondary zone</w:t>
            </w:r>
          </w:p>
          <w:p w14:paraId="75F073C1" w14:textId="77777777" w:rsidR="00F307F2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4959B91" w14:textId="77777777" w:rsidR="00F307F2" w:rsidRPr="00812355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nil"/>
              <w:bottom w:val="nil"/>
            </w:tcBorders>
          </w:tcPr>
          <w:p w14:paraId="7E014C55" w14:textId="77777777" w:rsidR="00F307F2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2DA4EBF" w14:textId="77777777" w:rsidR="00F307F2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Are there any unexpected elements in the recap? If so, when?</w:t>
            </w:r>
          </w:p>
          <w:p w14:paraId="4ED2C44D" w14:textId="77777777" w:rsidR="00F307F2" w:rsidRDefault="00F307F2" w:rsidP="000676D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7DC53F" w14:textId="77777777" w:rsidR="000676D7" w:rsidRDefault="000676D7" w:rsidP="000676D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307F2" w:rsidRPr="00812355" w14:paraId="5686FBF0" w14:textId="77777777" w:rsidTr="00F307F2">
        <w:tc>
          <w:tcPr>
            <w:tcW w:w="3258" w:type="dxa"/>
          </w:tcPr>
          <w:p w14:paraId="19A2B08F" w14:textId="77777777" w:rsidR="00F307F2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Recapitulation’s closing zone</w:t>
            </w:r>
          </w:p>
          <w:p w14:paraId="145328FF" w14:textId="77777777" w:rsidR="00F307F2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5588CA3" w14:textId="77777777" w:rsidR="00F307F2" w:rsidRPr="00812355" w:rsidRDefault="00F307F2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  <w:tcBorders>
              <w:top w:val="nil"/>
            </w:tcBorders>
          </w:tcPr>
          <w:p w14:paraId="1C6E4ED3" w14:textId="77777777" w:rsidR="000676D7" w:rsidRDefault="000676D7" w:rsidP="000676D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 what time do you hear the “crux” (the point when the recap is back in tonic as a transposed version of the same material from the exposition)?</w:t>
            </w:r>
          </w:p>
          <w:p w14:paraId="4118266D" w14:textId="77777777" w:rsidR="00F307F2" w:rsidRDefault="00F307F2" w:rsidP="00F307F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8F1" w:rsidRPr="00812355" w14:paraId="17E06BA2" w14:textId="77777777" w:rsidTr="0094070C">
        <w:tc>
          <w:tcPr>
            <w:tcW w:w="3258" w:type="dxa"/>
          </w:tcPr>
          <w:p w14:paraId="14067BCE" w14:textId="74B12012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Coda</w:t>
            </w:r>
            <w:r w:rsidR="002A3C81"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097F60" w:rsidRPr="00812355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2A3C81" w:rsidRPr="0081235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14:paraId="57C84D00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157CBCCE" w14:textId="77777777" w:rsidR="008038F1" w:rsidRPr="00812355" w:rsidRDefault="008038F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63F2EA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3ED78F" w14:textId="77777777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A3C81" w:rsidRPr="00812355" w14:paraId="2828A537" w14:textId="77777777" w:rsidTr="0094070C">
        <w:tc>
          <w:tcPr>
            <w:tcW w:w="3258" w:type="dxa"/>
          </w:tcPr>
          <w:p w14:paraId="57B2E9B1" w14:textId="77777777" w:rsidR="002A3C81" w:rsidRPr="00812355" w:rsidRDefault="002A3C8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Repeat of Develop. </w:t>
            </w:r>
            <w:proofErr w:type="gramStart"/>
            <w:r w:rsidRPr="00812355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proofErr w:type="gramEnd"/>
            <w:r w:rsidRPr="00812355">
              <w:rPr>
                <w:rFonts w:ascii="Times New Roman" w:hAnsi="Times New Roman" w:cs="Times New Roman"/>
                <w:sz w:val="22"/>
                <w:szCs w:val="22"/>
              </w:rPr>
              <w:t xml:space="preserve"> Recap (?)</w:t>
            </w:r>
          </w:p>
          <w:p w14:paraId="1B35D054" w14:textId="31DBC992" w:rsidR="000B5108" w:rsidRPr="00812355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A85EA8C" w14:textId="77777777" w:rsidR="002A3C81" w:rsidRPr="00812355" w:rsidRDefault="002A3C8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20" w:type="dxa"/>
          </w:tcPr>
          <w:p w14:paraId="2E6AF12C" w14:textId="77777777" w:rsidR="002A3C81" w:rsidRPr="00812355" w:rsidRDefault="002A3C81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D643FF" w14:textId="77777777" w:rsidR="000B5108" w:rsidRDefault="000B5108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83FA5C" w14:textId="77777777" w:rsidR="0060411F" w:rsidRPr="00812355" w:rsidRDefault="0060411F" w:rsidP="00A034B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78DE1CC" w14:textId="77777777" w:rsidR="008038F1" w:rsidRDefault="008038F1" w:rsidP="00A034B8">
      <w:pPr>
        <w:spacing w:before="100" w:beforeAutospacing="1"/>
        <w:contextualSpacing/>
        <w:rPr>
          <w:rFonts w:ascii="Times New Roman" w:hAnsi="Times New Roman" w:cs="Times New Roman"/>
          <w:sz w:val="22"/>
          <w:szCs w:val="22"/>
        </w:rPr>
      </w:pPr>
    </w:p>
    <w:p w14:paraId="3CAC0A3F" w14:textId="77777777" w:rsidR="00FE4231" w:rsidRDefault="00FE4231" w:rsidP="00A034B8">
      <w:pPr>
        <w:spacing w:before="100" w:beforeAutospacing="1"/>
        <w:contextualSpacing/>
        <w:rPr>
          <w:rFonts w:ascii="Times New Roman" w:hAnsi="Times New Roman" w:cs="Times New Roman"/>
          <w:sz w:val="22"/>
          <w:szCs w:val="22"/>
        </w:rPr>
      </w:pPr>
    </w:p>
    <w:p w14:paraId="2F11EC47" w14:textId="77777777" w:rsidR="00FE4231" w:rsidRPr="00812355" w:rsidRDefault="00FE4231" w:rsidP="00A034B8">
      <w:pPr>
        <w:spacing w:before="100" w:beforeAutospacing="1"/>
        <w:contextualSpacing/>
        <w:rPr>
          <w:rFonts w:ascii="Times New Roman" w:hAnsi="Times New Roman" w:cs="Times New Roman"/>
          <w:sz w:val="22"/>
          <w:szCs w:val="22"/>
        </w:rPr>
      </w:pPr>
    </w:p>
    <w:p w14:paraId="259F1973" w14:textId="2FC9458D" w:rsidR="00097F60" w:rsidRPr="00812355" w:rsidRDefault="00B92258" w:rsidP="00A034B8">
      <w:pPr>
        <w:spacing w:before="100" w:beforeAutospacing="1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Comments:</w:t>
      </w:r>
    </w:p>
    <w:sectPr w:rsidR="00097F60" w:rsidRPr="00812355" w:rsidSect="00803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7FF6"/>
    <w:multiLevelType w:val="hybridMultilevel"/>
    <w:tmpl w:val="821C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F1"/>
    <w:rsid w:val="000676D7"/>
    <w:rsid w:val="00097F60"/>
    <w:rsid w:val="000A105D"/>
    <w:rsid w:val="000B5108"/>
    <w:rsid w:val="000F671C"/>
    <w:rsid w:val="00174669"/>
    <w:rsid w:val="001A2E41"/>
    <w:rsid w:val="00206A8F"/>
    <w:rsid w:val="00222036"/>
    <w:rsid w:val="00283B5A"/>
    <w:rsid w:val="002A3C81"/>
    <w:rsid w:val="002D4219"/>
    <w:rsid w:val="003366C1"/>
    <w:rsid w:val="003D45F4"/>
    <w:rsid w:val="004437E4"/>
    <w:rsid w:val="00476A22"/>
    <w:rsid w:val="004805B1"/>
    <w:rsid w:val="00482DCD"/>
    <w:rsid w:val="004856FA"/>
    <w:rsid w:val="00493B0E"/>
    <w:rsid w:val="004B49B0"/>
    <w:rsid w:val="004D2970"/>
    <w:rsid w:val="00573087"/>
    <w:rsid w:val="005F6D7A"/>
    <w:rsid w:val="00601115"/>
    <w:rsid w:val="0060411F"/>
    <w:rsid w:val="0060474E"/>
    <w:rsid w:val="0067063F"/>
    <w:rsid w:val="008038F1"/>
    <w:rsid w:val="00812355"/>
    <w:rsid w:val="00864DB1"/>
    <w:rsid w:val="008F4969"/>
    <w:rsid w:val="0094070C"/>
    <w:rsid w:val="00976971"/>
    <w:rsid w:val="009A6045"/>
    <w:rsid w:val="00A017A8"/>
    <w:rsid w:val="00A034B8"/>
    <w:rsid w:val="00AC6B5E"/>
    <w:rsid w:val="00B2292F"/>
    <w:rsid w:val="00B36C4B"/>
    <w:rsid w:val="00B42DC8"/>
    <w:rsid w:val="00B451D9"/>
    <w:rsid w:val="00B453D9"/>
    <w:rsid w:val="00B92258"/>
    <w:rsid w:val="00BF19EE"/>
    <w:rsid w:val="00C02E83"/>
    <w:rsid w:val="00C1570F"/>
    <w:rsid w:val="00C97BFD"/>
    <w:rsid w:val="00CC3A4E"/>
    <w:rsid w:val="00CE302C"/>
    <w:rsid w:val="00D114B2"/>
    <w:rsid w:val="00D25DBD"/>
    <w:rsid w:val="00D442F1"/>
    <w:rsid w:val="00D57DE0"/>
    <w:rsid w:val="00DE2937"/>
    <w:rsid w:val="00E415ED"/>
    <w:rsid w:val="00E84A75"/>
    <w:rsid w:val="00E977B4"/>
    <w:rsid w:val="00EB6CB4"/>
    <w:rsid w:val="00EF4772"/>
    <w:rsid w:val="00F307F2"/>
    <w:rsid w:val="00FC7462"/>
    <w:rsid w:val="00FD1E00"/>
    <w:rsid w:val="00FE423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467F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1897</Characters>
  <Application>Microsoft Macintosh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Brown</dc:creator>
  <cp:keywords/>
  <dc:description/>
  <cp:lastModifiedBy>Jenine Brown</cp:lastModifiedBy>
  <cp:revision>36</cp:revision>
  <cp:lastPrinted>2018-04-03T01:02:00Z</cp:lastPrinted>
  <dcterms:created xsi:type="dcterms:W3CDTF">2018-05-23T17:12:00Z</dcterms:created>
  <dcterms:modified xsi:type="dcterms:W3CDTF">2018-07-25T14:54:00Z</dcterms:modified>
</cp:coreProperties>
</file>