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E929CB">
      <w:pPr>
        <w:snapToGrid/>
        <w:spacing w:beforeAutospacing="0" w:after="60" w:afterAutospacing="0" w:line="240" w:lineRule="auto"/>
        <w:ind w:left="0" w:leftChars="0" w:right="0" w:rightChars="0" w:firstLine="0" w:firstLineChars="0"/>
        <w:jc w:val="center"/>
        <w:rPr>
          <w:rFonts w:hint="eastAsia" w:ascii="Times New Roman" w:hAnsi="微软雅黑" w:eastAsia="黑体" w:cs="微软雅黑"/>
          <w:b w:val="0"/>
          <w:bCs/>
          <w:i w:val="0"/>
          <w:iCs w:val="0"/>
          <w:caps w:val="0"/>
          <w:color w:val="auto"/>
          <w:spacing w:val="0"/>
          <w:sz w:val="44"/>
          <w:szCs w:val="36"/>
          <w:shd w:val="clear" w:fill="FFFFFF"/>
        </w:rPr>
      </w:pPr>
      <w:r>
        <w:rPr>
          <w:rFonts w:hint="eastAsia" w:ascii="Times New Roman" w:hAnsi="微软雅黑" w:eastAsia="黑体" w:cs="微软雅黑"/>
          <w:b w:val="0"/>
          <w:bCs/>
          <w:i w:val="0"/>
          <w:iCs w:val="0"/>
          <w:caps w:val="0"/>
          <w:color w:val="auto"/>
          <w:spacing w:val="0"/>
          <w:sz w:val="44"/>
          <w:szCs w:val="36"/>
          <w:shd w:val="clear" w:fill="FFFFFF"/>
        </w:rPr>
        <w:t xml:space="preserve">基于 Opendigger 指标数据的项目健康度分析 </w:t>
      </w:r>
    </w:p>
    <w:p w14:paraId="7E19A6D8">
      <w:pPr>
        <w:jc w:val="left"/>
        <w:rPr>
          <w:rFonts w:hint="eastAsia" w:ascii="微软雅黑" w:hAnsi="微软雅黑" w:eastAsia="微软雅黑" w:cs="微软雅黑"/>
          <w:b/>
          <w:bCs/>
          <w:i w:val="0"/>
          <w:iCs w:val="0"/>
          <w:caps w:val="0"/>
          <w:color w:val="1F2329"/>
          <w:spacing w:val="0"/>
          <w:sz w:val="36"/>
          <w:szCs w:val="36"/>
          <w:shd w:val="clear" w:fill="FFFFFF"/>
        </w:rPr>
      </w:pPr>
    </w:p>
    <w:p w14:paraId="00D6E80A">
      <w:pPr>
        <w:numPr>
          <w:ilvl w:val="0"/>
          <w:numId w:val="1"/>
        </w:numPr>
        <w:snapToGrid/>
        <w:spacing w:before="312" w:beforeLines="100" w:beforeAutospacing="0" w:after="156" w:afterLines="50" w:afterAutospacing="0" w:line="360" w:lineRule="auto"/>
        <w:ind w:left="0" w:leftChars="0" w:right="0" w:rightChars="0" w:firstLine="0" w:firstLineChars="0"/>
        <w:jc w:val="left"/>
        <w:outlineLvl w:val="0"/>
        <w:rPr>
          <w:rFonts w:hint="eastAsia" w:ascii="Times New Roman" w:hAnsi="微软雅黑" w:eastAsia="宋体" w:cs="微软雅黑"/>
          <w:b/>
          <w:i w:val="0"/>
          <w:iCs w:val="0"/>
          <w:caps w:val="0"/>
          <w:color w:val="auto"/>
          <w:spacing w:val="0"/>
          <w:sz w:val="32"/>
          <w:szCs w:val="27"/>
          <w:shd w:val="clear" w:fill="FFFFFF"/>
        </w:rPr>
      </w:pPr>
      <w:r>
        <w:rPr>
          <w:rFonts w:hint="eastAsia" w:ascii="Times New Roman" w:hAnsi="微软雅黑" w:eastAsia="宋体" w:cs="微软雅黑"/>
          <w:b/>
          <w:i w:val="0"/>
          <w:iCs w:val="0"/>
          <w:caps w:val="0"/>
          <w:color w:val="auto"/>
          <w:spacing w:val="0"/>
          <w:sz w:val="32"/>
          <w:szCs w:val="27"/>
          <w:shd w:val="clear" w:fill="FFFFFF"/>
        </w:rPr>
        <w:t>项目背景</w:t>
      </w:r>
    </w:p>
    <w:p w14:paraId="66B04FAC">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在现代软件开发进程中，开源软件占据着举足轻重的地位。它不仅助力技术的广泛共享与创新，还能显著削减开发成本，提升软件质量。GitHub 作为全球首屈一指的代码托管平台，汇聚了海量开源项目，其涵盖的编程语言与应用领域极为广泛。其中，Top 300 项目凭借较高的星标数、活跃的社区以及广泛的使用基础，成为开发者与企业瞩目的焦点。 然而，GitHub 原生提供的诸如星标数、Fork 数等指标，在反映项目真实健康状况方面存在明显局限。开发者若单纯依赖这些表面指标，极有可能错失潜力巨大但知名度欠佳的项目，或者误选社区活跃度低迷、维护不善的项目，最终对使用和贡献效率造成负面影响。 </w:t>
      </w:r>
    </w:p>
    <w:p w14:paraId="20347790">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有鉴于此，本项目引入 Opendigger 指标数据，融合多维度评估视角，涵盖</w:t>
      </w:r>
      <w:r>
        <w:rPr>
          <w:rFonts w:hint="eastAsia" w:ascii="Times New Roman" w:hAnsi="微软雅黑" w:eastAsia="宋体" w:cs="微软雅黑"/>
          <w:i w:val="0"/>
          <w:iCs w:val="0"/>
          <w:caps w:val="0"/>
          <w:color w:val="auto"/>
          <w:spacing w:val="0"/>
          <w:sz w:val="28"/>
          <w:szCs w:val="27"/>
          <w:shd w:val="clear" w:fill="FFFFFF"/>
          <w:lang w:val="en-US" w:eastAsia="zh-CN"/>
        </w:rPr>
        <w:t>项目</w:t>
      </w:r>
      <w:r>
        <w:rPr>
          <w:rFonts w:hint="eastAsia" w:ascii="Times New Roman" w:hAnsi="微软雅黑" w:eastAsia="宋体" w:cs="微软雅黑"/>
          <w:i w:val="0"/>
          <w:iCs w:val="0"/>
          <w:caps w:val="0"/>
          <w:color w:val="auto"/>
          <w:spacing w:val="0"/>
          <w:sz w:val="28"/>
          <w:szCs w:val="27"/>
          <w:shd w:val="clear" w:fill="FFFFFF"/>
        </w:rPr>
        <w:t>活跃度、问题解决能力、开发效率、</w:t>
      </w:r>
      <w:r>
        <w:rPr>
          <w:rFonts w:hint="eastAsia" w:ascii="Times New Roman" w:hAnsi="微软雅黑" w:eastAsia="宋体" w:cs="微软雅黑"/>
          <w:i w:val="0"/>
          <w:iCs w:val="0"/>
          <w:caps w:val="0"/>
          <w:color w:val="auto"/>
          <w:spacing w:val="0"/>
          <w:sz w:val="28"/>
          <w:szCs w:val="27"/>
          <w:shd w:val="clear" w:fill="FFFFFF"/>
          <w:lang w:val="en-US" w:eastAsia="zh-CN"/>
        </w:rPr>
        <w:t>社区关注度</w:t>
      </w:r>
      <w:r>
        <w:rPr>
          <w:rFonts w:hint="eastAsia" w:ascii="Times New Roman" w:hAnsi="微软雅黑" w:eastAsia="宋体" w:cs="微软雅黑"/>
          <w:i w:val="0"/>
          <w:iCs w:val="0"/>
          <w:caps w:val="0"/>
          <w:color w:val="auto"/>
          <w:spacing w:val="0"/>
          <w:sz w:val="28"/>
          <w:szCs w:val="27"/>
          <w:shd w:val="clear" w:fill="FFFFFF"/>
        </w:rPr>
        <w:t xml:space="preserve">等方面，力求为 GitHub 上的热门项目（Top 300）打造一套更为全面、科学的健康度衡量方案。 </w:t>
      </w:r>
    </w:p>
    <w:p w14:paraId="39AE2812">
      <w:pPr>
        <w:numPr>
          <w:ilvl w:val="0"/>
          <w:numId w:val="1"/>
        </w:numPr>
        <w:snapToGrid/>
        <w:spacing w:before="312" w:beforeLines="100" w:beforeAutospacing="0" w:after="156" w:afterLines="50" w:afterAutospacing="0" w:line="360" w:lineRule="auto"/>
        <w:ind w:left="0" w:leftChars="0" w:right="0" w:rightChars="0" w:firstLine="0" w:firstLineChars="0"/>
        <w:jc w:val="left"/>
        <w:outlineLvl w:val="0"/>
        <w:rPr>
          <w:rFonts w:hint="eastAsia" w:ascii="Times New Roman" w:hAnsi="微软雅黑" w:eastAsia="宋体" w:cs="微软雅黑"/>
          <w:b/>
          <w:i w:val="0"/>
          <w:iCs w:val="0"/>
          <w:caps w:val="0"/>
          <w:color w:val="auto"/>
          <w:spacing w:val="0"/>
          <w:sz w:val="32"/>
          <w:szCs w:val="27"/>
          <w:shd w:val="clear" w:fill="FFFFFF"/>
        </w:rPr>
      </w:pPr>
      <w:r>
        <w:rPr>
          <w:rFonts w:hint="eastAsia" w:ascii="Times New Roman" w:hAnsi="微软雅黑" w:eastAsia="宋体" w:cs="微软雅黑"/>
          <w:b/>
          <w:i w:val="0"/>
          <w:iCs w:val="0"/>
          <w:caps w:val="0"/>
          <w:color w:val="auto"/>
          <w:spacing w:val="0"/>
          <w:sz w:val="32"/>
          <w:szCs w:val="27"/>
          <w:shd w:val="clear" w:fill="FFFFFF"/>
        </w:rPr>
        <w:t xml:space="preserve">设计目标 </w:t>
      </w:r>
    </w:p>
    <w:p w14:paraId="06F4099C">
      <w:pPr>
        <w:numPr>
          <w:ilvl w:val="0"/>
          <w:numId w:val="2"/>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多维度健康度分析：</w:t>
      </w:r>
    </w:p>
    <w:p w14:paraId="48532B37">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充分利用 Opendigger 提供的项目健康度指标，包括</w:t>
      </w:r>
      <w:r>
        <w:rPr>
          <w:rFonts w:hint="eastAsia" w:ascii="Times New Roman" w:hAnsi="微软雅黑" w:eastAsia="宋体" w:cs="微软雅黑"/>
          <w:i w:val="0"/>
          <w:iCs w:val="0"/>
          <w:caps w:val="0"/>
          <w:color w:val="auto"/>
          <w:spacing w:val="0"/>
          <w:sz w:val="28"/>
          <w:szCs w:val="27"/>
          <w:shd w:val="clear" w:fill="FFFFFF"/>
          <w:lang w:val="en-US" w:eastAsia="zh-CN"/>
        </w:rPr>
        <w:t>活跃人数，PR生命周期，</w:t>
      </w:r>
      <w:r>
        <w:rPr>
          <w:rFonts w:hint="eastAsia" w:ascii="Times New Roman" w:hAnsi="微软雅黑" w:eastAsia="宋体" w:cs="微软雅黑"/>
          <w:i w:val="0"/>
          <w:iCs w:val="0"/>
          <w:caps w:val="0"/>
          <w:color w:val="auto"/>
          <w:spacing w:val="0"/>
          <w:sz w:val="28"/>
          <w:szCs w:val="27"/>
          <w:shd w:val="clear" w:fill="FFFFFF"/>
        </w:rPr>
        <w:t>贡献者数量等</w:t>
      </w:r>
      <w:r>
        <w:rPr>
          <w:rFonts w:hint="eastAsia" w:ascii="Times New Roman" w:hAnsi="微软雅黑" w:eastAsia="宋体" w:cs="微软雅黑"/>
          <w:i w:val="0"/>
          <w:iCs w:val="0"/>
          <w:caps w:val="0"/>
          <w:color w:val="auto"/>
          <w:spacing w:val="0"/>
          <w:sz w:val="28"/>
          <w:szCs w:val="27"/>
          <w:shd w:val="clear" w:fill="FFFFFF"/>
          <w:lang w:val="en-US" w:eastAsia="zh-CN"/>
        </w:rPr>
        <w:t>等</w:t>
      </w:r>
      <w:r>
        <w:rPr>
          <w:rFonts w:hint="eastAsia" w:ascii="Times New Roman" w:hAnsi="微软雅黑" w:eastAsia="宋体" w:cs="微软雅黑"/>
          <w:i w:val="0"/>
          <w:iCs w:val="0"/>
          <w:caps w:val="0"/>
          <w:color w:val="auto"/>
          <w:spacing w:val="0"/>
          <w:sz w:val="28"/>
          <w:szCs w:val="27"/>
          <w:shd w:val="clear" w:fill="FFFFFF"/>
        </w:rPr>
        <w:t xml:space="preserve">，全方位综合评估项目的实际健康状况。 </w:t>
      </w:r>
    </w:p>
    <w:p w14:paraId="4B462282">
      <w:pPr>
        <w:numPr>
          <w:ilvl w:val="0"/>
          <w:numId w:val="2"/>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直观的可视化展示：为用户精心打造清晰直观的可视化大屏，</w:t>
      </w:r>
    </w:p>
    <w:p w14:paraId="344CD30B">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涵盖项目排名、各维度评分、趋势图、对比分析等内容，助力开发者及企业快速做出决策或选型。 </w:t>
      </w:r>
    </w:p>
    <w:p w14:paraId="6BA1B039">
      <w:pPr>
        <w:numPr>
          <w:ilvl w:val="0"/>
          <w:numId w:val="1"/>
        </w:numPr>
        <w:snapToGrid/>
        <w:spacing w:before="312" w:beforeLines="100" w:beforeAutospacing="0" w:after="156" w:afterLines="50" w:afterAutospacing="0" w:line="360" w:lineRule="auto"/>
        <w:ind w:left="0" w:leftChars="0" w:right="0" w:rightChars="0" w:firstLine="0" w:firstLineChars="0"/>
        <w:jc w:val="left"/>
        <w:outlineLvl w:val="0"/>
        <w:rPr>
          <w:rFonts w:hint="eastAsia" w:ascii="Times New Roman" w:hAnsi="微软雅黑" w:eastAsia="宋体" w:cs="微软雅黑"/>
          <w:b/>
          <w:i w:val="0"/>
          <w:iCs w:val="0"/>
          <w:caps w:val="0"/>
          <w:color w:val="auto"/>
          <w:spacing w:val="0"/>
          <w:sz w:val="32"/>
          <w:szCs w:val="27"/>
          <w:shd w:val="clear" w:fill="FFFFFF"/>
        </w:rPr>
      </w:pPr>
      <w:r>
        <w:rPr>
          <w:rFonts w:hint="eastAsia" w:ascii="Times New Roman" w:hAnsi="微软雅黑" w:eastAsia="宋体" w:cs="微软雅黑"/>
          <w:b/>
          <w:i w:val="0"/>
          <w:iCs w:val="0"/>
          <w:caps w:val="0"/>
          <w:color w:val="auto"/>
          <w:spacing w:val="0"/>
          <w:sz w:val="32"/>
          <w:szCs w:val="27"/>
          <w:shd w:val="clear" w:fill="FFFFFF"/>
        </w:rPr>
        <w:t xml:space="preserve">数据分析方法 </w:t>
      </w:r>
    </w:p>
    <w:p w14:paraId="2DB98D38">
      <w:pPr>
        <w:numPr>
          <w:ilvl w:val="0"/>
          <w:numId w:val="3"/>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数据读取：</w:t>
      </w:r>
    </w:p>
    <w:p w14:paraId="484A0E44">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本项目选用 top300 数据文件夹，其文件结构呈现大文件夹套小文件夹，小文件夹内嵌套多个项目小文件夹的形式，且每个项目文件夹包含多个 json 文件。为此，先定义递归函数查找对应 json 文件，再遍历项目文件，以防在小文件夹内读取一个项目数据后便停止读取，确保数据的完整性。 </w:t>
      </w:r>
    </w:p>
    <w:p w14:paraId="02635C57">
      <w:pPr>
        <w:numPr>
          <w:ilvl w:val="0"/>
          <w:numId w:val="3"/>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lang w:val="en-US" w:eastAsia="zh-CN"/>
        </w:rPr>
      </w:pPr>
      <w:r>
        <w:rPr>
          <w:rFonts w:hint="eastAsia" w:ascii="Times New Roman" w:hAnsi="微软雅黑" w:eastAsia="宋体" w:cs="微软雅黑"/>
          <w:i w:val="0"/>
          <w:iCs w:val="0"/>
          <w:caps w:val="0"/>
          <w:color w:val="auto"/>
          <w:spacing w:val="0"/>
          <w:sz w:val="28"/>
          <w:szCs w:val="27"/>
          <w:shd w:val="clear" w:fill="FFFFFF"/>
          <w:lang w:val="en-US" w:eastAsia="zh-CN"/>
        </w:rPr>
        <w:t>数据分析</w:t>
      </w:r>
    </w:p>
    <w:p w14:paraId="01634BCD">
      <w:pPr>
        <w:numPr>
          <w:ilvl w:val="0"/>
          <w:numId w:val="4"/>
        </w:numPr>
        <w:snapToGrid/>
        <w:spacing w:before="156" w:beforeLines="50" w:beforeAutospacing="0" w:afterAutospacing="0" w:line="360" w:lineRule="auto"/>
        <w:ind w:left="0" w:leftChars="0" w:right="0" w:rightChars="0" w:firstLine="0" w:firstLineChars="0"/>
        <w:jc w:val="left"/>
        <w:outlineLvl w:val="1"/>
        <w:rPr>
          <w:rFonts w:hint="eastAsia" w:ascii="Times New Roman" w:hAnsi="微软雅黑" w:eastAsia="宋体" w:cs="微软雅黑"/>
          <w:b/>
          <w:color w:val="auto"/>
          <w:sz w:val="30"/>
        </w:rPr>
      </w:pPr>
      <w:r>
        <w:rPr>
          <w:rFonts w:hint="eastAsia" w:ascii="Times New Roman" w:hAnsi="微软雅黑" w:eastAsia="宋体" w:cs="微软雅黑"/>
          <w:b/>
          <w:i w:val="0"/>
          <w:iCs w:val="0"/>
          <w:caps w:val="0"/>
          <w:color w:val="auto"/>
          <w:spacing w:val="0"/>
          <w:sz w:val="30"/>
          <w:szCs w:val="27"/>
          <w:shd w:val="clear" w:fill="FFFFFF"/>
        </w:rPr>
        <w:t xml:space="preserve">社区活跃度 </w:t>
      </w:r>
    </w:p>
    <w:p w14:paraId="6AAC2B95">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社区活跃度由三个子指标综合而成，各指标详情如下：</w:t>
      </w:r>
    </w:p>
    <w:p w14:paraId="4B7A429D">
      <w:pPr>
        <w:numPr>
          <w:ilvl w:val="0"/>
          <w:numId w:val="5"/>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活跃度数值： </w:t>
      </w:r>
    </w:p>
    <w:p w14:paraId="7C8047B8">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数据来源：activity.json </w:t>
      </w:r>
    </w:p>
    <w:p w14:paraId="252FF5C4">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计算方法：针对每个项目，先计算其每年 activity 数值的平均值，该值可理解为项目在当年的平均活跃度。于同一年度范围内，对所有项目的活跃度平均值实施最大 - 最小归一化（Min - Max Normalization），使其映射至统一区间，进而得到“活跃度数值”得分。 </w:t>
      </w:r>
    </w:p>
    <w:p w14:paraId="3A270B8A">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含义：此得分直观反映项目一年内的综合活跃度高低，活跃度越高，意味着社区互动、贡献越频繁。 </w:t>
      </w:r>
    </w:p>
    <w:p w14:paraId="3A738E32">
      <w:pPr>
        <w:numPr>
          <w:ilvl w:val="0"/>
          <w:numId w:val="5"/>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粘度： </w:t>
      </w:r>
    </w:p>
    <w:p w14:paraId="14E46B4C">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数据来源：active_dates_and_times.json 和 activity.json（用于获取日活跃用户数 DAU、月活跃用户数 MAU） </w:t>
      </w:r>
    </w:p>
    <w:p w14:paraId="3A8ABF35">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lang w:eastAsia="zh-CN"/>
        </w:rPr>
      </w:pPr>
      <w:r>
        <w:rPr>
          <w:rFonts w:hint="eastAsia" w:ascii="Times New Roman" w:hAnsi="微软雅黑" w:eastAsia="宋体" w:cs="微软雅黑"/>
          <w:i w:val="0"/>
          <w:iCs w:val="0"/>
          <w:caps w:val="0"/>
          <w:color w:val="auto"/>
          <w:spacing w:val="0"/>
          <w:sz w:val="28"/>
          <w:szCs w:val="27"/>
          <w:shd w:val="clear" w:fill="FFFFFF"/>
        </w:rPr>
        <w:t>计算方法</w:t>
      </w:r>
      <w:r>
        <w:rPr>
          <w:rFonts w:hint="eastAsia" w:ascii="Times New Roman" w:hAnsi="微软雅黑" w:eastAsia="宋体" w:cs="微软雅黑"/>
          <w:i w:val="0"/>
          <w:iCs w:val="0"/>
          <w:caps w:val="0"/>
          <w:color w:val="auto"/>
          <w:spacing w:val="0"/>
          <w:sz w:val="28"/>
          <w:szCs w:val="27"/>
          <w:shd w:val="clear" w:fill="FFFFFF"/>
          <w:lang w:eastAsia="zh-CN"/>
        </w:rPr>
        <w:t>：</w:t>
      </w:r>
      <w:r>
        <w:rPr>
          <w:rFonts w:hint="eastAsia" w:ascii="Times New Roman" w:hAnsi="微软雅黑" w:eastAsia="宋体" w:cs="微软雅黑"/>
          <w:i w:val="0"/>
          <w:iCs w:val="0"/>
          <w:caps w:val="0"/>
          <w:color w:val="auto"/>
          <w:spacing w:val="0"/>
          <w:sz w:val="28"/>
          <w:szCs w:val="27"/>
          <w:shd w:val="clear" w:fill="FFFFFF"/>
        </w:rPr>
        <w:t>首先计算日活跃用户数（DAU）与月活跃用户数（MAU），得出年度内每个时间点的 DAU/MAU 比率。 - 进一步统计这些比率在当年内的方差，方差越小，表明粘度在一年内较为平稳，项目用户活跃度能够持续维持。 - 最后将粘度及其方差的结果转化为标准化分数</w:t>
      </w:r>
      <w:r>
        <w:rPr>
          <w:rFonts w:hint="eastAsia" w:ascii="Times New Roman" w:hAnsi="微软雅黑" w:eastAsia="宋体" w:cs="微软雅黑"/>
          <w:i w:val="0"/>
          <w:iCs w:val="0"/>
          <w:caps w:val="0"/>
          <w:color w:val="auto"/>
          <w:spacing w:val="0"/>
          <w:sz w:val="28"/>
          <w:szCs w:val="27"/>
          <w:shd w:val="clear" w:fill="FFFFFF"/>
          <w:lang w:eastAsia="zh-CN"/>
        </w:rPr>
        <w:t>。</w:t>
      </w:r>
    </w:p>
    <w:p w14:paraId="0DA52D42">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含义：DAU/MAU 比率越高，粘度越强，说明社区用户天天或经常参与项目；年度方差越小，意味着这种粘性能够长期稳定保持，而非大起大落。 </w:t>
      </w:r>
    </w:p>
    <w:p w14:paraId="5FB0CFBA">
      <w:pPr>
        <w:numPr>
          <w:ilvl w:val="0"/>
          <w:numId w:val="5"/>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参与者数量：</w:t>
      </w:r>
    </w:p>
    <w:p w14:paraId="2834C4B3">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数据来源：participants.json </w:t>
      </w:r>
    </w:p>
    <w:p w14:paraId="24C7464A">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计算方法：统计每个项目在一年内实际参与项目的用户总数，并对该数值进行归一化处理。</w:t>
      </w:r>
    </w:p>
    <w:p w14:paraId="78BC6154">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含义：该指标反映在特定年份里，有多少不同的开发者或用户投身于项目之中，数量越多、分布越稳定，项目的社区基础就越坚实。 </w:t>
      </w:r>
    </w:p>
    <w:p w14:paraId="17E901B3">
      <w:pPr>
        <w:numPr>
          <w:ilvl w:val="0"/>
          <w:numId w:val="5"/>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综合得分：将上述三个子指标（活跃度数值、粘度、参与者数量）各自归一化后，赋予相同权重，合并得到社区活跃度分数。 </w:t>
      </w:r>
    </w:p>
    <w:p w14:paraId="7FF896BB">
      <w:pPr>
        <w:numPr>
          <w:ilvl w:val="0"/>
          <w:numId w:val="4"/>
        </w:numPr>
        <w:snapToGrid/>
        <w:spacing w:before="156" w:beforeLines="50" w:beforeAutospacing="0" w:afterAutospacing="0" w:line="360" w:lineRule="auto"/>
        <w:ind w:left="0" w:leftChars="0" w:right="0" w:rightChars="0" w:firstLine="0" w:firstLineChars="0"/>
        <w:jc w:val="left"/>
        <w:outlineLvl w:val="1"/>
        <w:rPr>
          <w:rFonts w:hint="eastAsia" w:ascii="Times New Roman" w:hAnsi="微软雅黑" w:eastAsia="宋体" w:cs="微软雅黑"/>
          <w:b/>
          <w:i w:val="0"/>
          <w:iCs w:val="0"/>
          <w:caps w:val="0"/>
          <w:color w:val="auto"/>
          <w:spacing w:val="0"/>
          <w:sz w:val="30"/>
          <w:szCs w:val="27"/>
          <w:shd w:val="clear" w:fill="FFFFFF"/>
        </w:rPr>
      </w:pPr>
      <w:r>
        <w:rPr>
          <w:rFonts w:hint="eastAsia" w:ascii="Times New Roman" w:hAnsi="微软雅黑" w:eastAsia="宋体" w:cs="微软雅黑"/>
          <w:b/>
          <w:i w:val="0"/>
          <w:iCs w:val="0"/>
          <w:caps w:val="0"/>
          <w:color w:val="auto"/>
          <w:spacing w:val="0"/>
          <w:sz w:val="30"/>
          <w:szCs w:val="27"/>
          <w:shd w:val="clear" w:fill="FFFFFF"/>
        </w:rPr>
        <w:t xml:space="preserve">开发效率 </w:t>
      </w:r>
    </w:p>
    <w:p w14:paraId="10B56761">
      <w:pPr>
        <w:numPr>
          <w:ilvl w:val="0"/>
          <w:numId w:val="6"/>
        </w:numPr>
        <w:snapToGrid/>
        <w:spacing w:beforeAutospacing="0" w:afterAutospacing="0" w:line="360" w:lineRule="auto"/>
        <w:ind w:left="0" w:leftChars="0" w:right="0" w:rightChars="0" w:firstLine="0" w:firstLineChars="0"/>
        <w:jc w:val="left"/>
        <w:outlineLvl w:val="2"/>
        <w:rPr>
          <w:rFonts w:hint="eastAsia" w:ascii="Times New Roman" w:hAnsi="微软雅黑" w:eastAsia="宋体" w:cs="微软雅黑"/>
          <w:b/>
          <w:i w:val="0"/>
          <w:iCs w:val="0"/>
          <w:caps w:val="0"/>
          <w:color w:val="auto"/>
          <w:spacing w:val="0"/>
          <w:sz w:val="28"/>
          <w:szCs w:val="27"/>
          <w:shd w:val="clear" w:fill="FFFFFF"/>
        </w:rPr>
      </w:pPr>
      <w:r>
        <w:rPr>
          <w:rFonts w:hint="eastAsia" w:ascii="Times New Roman" w:hAnsi="微软雅黑" w:eastAsia="宋体" w:cs="微软雅黑"/>
          <w:b/>
          <w:i w:val="0"/>
          <w:iCs w:val="0"/>
          <w:caps w:val="0"/>
          <w:color w:val="auto"/>
          <w:spacing w:val="0"/>
          <w:sz w:val="28"/>
          <w:szCs w:val="27"/>
          <w:shd w:val="clear" w:fill="FFFFFF"/>
        </w:rPr>
        <w:t>指标一：PR 生命周期</w:t>
      </w:r>
    </w:p>
    <w:p w14:paraId="7A87E358">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数据</w:t>
      </w:r>
      <w:r>
        <w:rPr>
          <w:rFonts w:hint="eastAsia" w:ascii="Times New Roman" w:hAnsi="微软雅黑" w:eastAsia="宋体" w:cs="微软雅黑"/>
          <w:i w:val="0"/>
          <w:iCs w:val="0"/>
          <w:caps w:val="0"/>
          <w:color w:val="auto"/>
          <w:spacing w:val="0"/>
          <w:sz w:val="28"/>
          <w:szCs w:val="27"/>
          <w:shd w:val="clear" w:fill="FFFFFF"/>
          <w:lang w:val="en-US" w:eastAsia="zh-CN"/>
        </w:rPr>
        <w:t>来源</w:t>
      </w:r>
      <w:r>
        <w:rPr>
          <w:rFonts w:hint="eastAsia" w:ascii="Times New Roman" w:hAnsi="微软雅黑" w:eastAsia="宋体" w:cs="微软雅黑"/>
          <w:i w:val="0"/>
          <w:iCs w:val="0"/>
          <w:caps w:val="0"/>
          <w:color w:val="auto"/>
          <w:spacing w:val="0"/>
          <w:sz w:val="28"/>
          <w:szCs w:val="27"/>
          <w:shd w:val="clear" w:fill="FFFFFF"/>
        </w:rPr>
        <w:t>：change_request_age.json：表示合并时长（从创建到合并的时间）</w:t>
      </w:r>
      <w:r>
        <w:rPr>
          <w:rFonts w:hint="eastAsia" w:ascii="Times New Roman" w:hAnsi="微软雅黑" w:eastAsia="宋体" w:cs="微软雅黑"/>
          <w:i w:val="0"/>
          <w:iCs w:val="0"/>
          <w:caps w:val="0"/>
          <w:color w:val="auto"/>
          <w:spacing w:val="0"/>
          <w:sz w:val="28"/>
          <w:szCs w:val="27"/>
          <w:shd w:val="clear" w:fill="FFFFFF"/>
          <w:lang w:eastAsia="zh-CN"/>
        </w:rPr>
        <w:t>，</w:t>
      </w:r>
      <w:r>
        <w:rPr>
          <w:rFonts w:hint="eastAsia" w:ascii="Times New Roman" w:hAnsi="微软雅黑" w:eastAsia="宋体" w:cs="微软雅黑"/>
          <w:i w:val="0"/>
          <w:iCs w:val="0"/>
          <w:caps w:val="0"/>
          <w:color w:val="auto"/>
          <w:spacing w:val="0"/>
          <w:sz w:val="28"/>
          <w:szCs w:val="27"/>
          <w:shd w:val="clear" w:fill="FFFFFF"/>
        </w:rPr>
        <w:t>change_request_resolution_duration.json：表示关闭时长（从创建到关闭的时间）。</w:t>
      </w:r>
    </w:p>
    <w:p w14:paraId="4F69D1A1">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计算思路：</w:t>
      </w:r>
    </w:p>
    <w:p w14:paraId="6A8BF5B0">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分别处理合并与关闭时长：从 change_request_age.json 获取合并时长数组；</w:t>
      </w:r>
      <w:r>
        <w:rPr>
          <w:rFonts w:hint="eastAsia" w:ascii="Times New Roman" w:hAnsi="微软雅黑" w:eastAsia="宋体" w:cs="微软雅黑"/>
          <w:i w:val="0"/>
          <w:iCs w:val="0"/>
          <w:caps w:val="0"/>
          <w:color w:val="auto"/>
          <w:spacing w:val="0"/>
          <w:sz w:val="28"/>
          <w:szCs w:val="27"/>
          <w:shd w:val="clear" w:fill="FFFFFF"/>
          <w:lang w:val="en-US" w:eastAsia="zh-CN"/>
        </w:rPr>
        <w:t>从</w:t>
      </w:r>
      <w:r>
        <w:rPr>
          <w:rFonts w:hint="eastAsia" w:ascii="Times New Roman" w:hAnsi="微软雅黑" w:eastAsia="宋体" w:cs="微软雅黑"/>
          <w:i w:val="0"/>
          <w:iCs w:val="0"/>
          <w:caps w:val="0"/>
          <w:color w:val="auto"/>
          <w:spacing w:val="0"/>
          <w:sz w:val="28"/>
          <w:szCs w:val="27"/>
          <w:shd w:val="clear" w:fill="FFFFFF"/>
        </w:rPr>
        <w:t>change_request_resolution_duration.json 获取关闭时长数组。</w:t>
      </w:r>
    </w:p>
    <w:p w14:paraId="7C9C8191">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逐年汇总： 将该年度的合并时长/关闭时长进行求和</w:t>
      </w:r>
      <w:r>
        <w:rPr>
          <w:rFonts w:hint="eastAsia" w:ascii="Times New Roman" w:hAnsi="微软雅黑" w:eastAsia="宋体" w:cs="微软雅黑"/>
          <w:i w:val="0"/>
          <w:iCs w:val="0"/>
          <w:caps w:val="0"/>
          <w:color w:val="auto"/>
          <w:spacing w:val="0"/>
          <w:sz w:val="28"/>
          <w:szCs w:val="27"/>
          <w:shd w:val="clear" w:fill="FFFFFF"/>
          <w:lang w:eastAsia="zh-CN"/>
        </w:rPr>
        <w:t>，</w:t>
      </w:r>
      <w:r>
        <w:rPr>
          <w:rFonts w:hint="eastAsia" w:ascii="Times New Roman" w:hAnsi="微软雅黑" w:eastAsia="宋体" w:cs="微软雅黑"/>
          <w:i w:val="0"/>
          <w:iCs w:val="0"/>
          <w:caps w:val="0"/>
          <w:color w:val="auto"/>
          <w:spacing w:val="0"/>
          <w:sz w:val="28"/>
          <w:szCs w:val="27"/>
          <w:shd w:val="clear" w:fill="FFFFFF"/>
          <w:lang w:val="en-US" w:eastAsia="zh-CN"/>
        </w:rPr>
        <w:t>再</w:t>
      </w:r>
      <w:r>
        <w:rPr>
          <w:rFonts w:hint="eastAsia" w:ascii="Times New Roman" w:hAnsi="微软雅黑" w:eastAsia="宋体" w:cs="微软雅黑"/>
          <w:i w:val="0"/>
          <w:iCs w:val="0"/>
          <w:caps w:val="0"/>
          <w:color w:val="auto"/>
          <w:spacing w:val="0"/>
          <w:sz w:val="28"/>
          <w:szCs w:val="27"/>
          <w:shd w:val="clear" w:fill="FFFFFF"/>
        </w:rPr>
        <w:t>平均，得到单个项目在这一时间范围内的总</w:t>
      </w:r>
      <w:r>
        <w:rPr>
          <w:rFonts w:hint="eastAsia" w:ascii="Times New Roman" w:hAnsi="微软雅黑" w:eastAsia="宋体" w:cs="微软雅黑"/>
          <w:i w:val="0"/>
          <w:iCs w:val="0"/>
          <w:caps w:val="0"/>
          <w:color w:val="auto"/>
          <w:spacing w:val="0"/>
          <w:sz w:val="28"/>
          <w:szCs w:val="27"/>
          <w:shd w:val="clear" w:fill="FFFFFF"/>
          <w:lang w:val="en-US" w:eastAsia="zh-CN"/>
        </w:rPr>
        <w:t>平均</w:t>
      </w:r>
      <w:r>
        <w:rPr>
          <w:rFonts w:hint="eastAsia" w:ascii="Times New Roman" w:hAnsi="微软雅黑" w:eastAsia="宋体" w:cs="微软雅黑"/>
          <w:i w:val="0"/>
          <w:iCs w:val="0"/>
          <w:caps w:val="0"/>
          <w:color w:val="auto"/>
          <w:spacing w:val="0"/>
          <w:sz w:val="28"/>
          <w:szCs w:val="27"/>
          <w:shd w:val="clear" w:fill="FFFFFF"/>
        </w:rPr>
        <w:t>合并时长、总</w:t>
      </w:r>
      <w:r>
        <w:rPr>
          <w:rFonts w:hint="eastAsia" w:ascii="Times New Roman" w:hAnsi="微软雅黑" w:eastAsia="宋体" w:cs="微软雅黑"/>
          <w:i w:val="0"/>
          <w:iCs w:val="0"/>
          <w:caps w:val="0"/>
          <w:color w:val="auto"/>
          <w:spacing w:val="0"/>
          <w:sz w:val="28"/>
          <w:szCs w:val="27"/>
          <w:shd w:val="clear" w:fill="FFFFFF"/>
          <w:lang w:val="en-US" w:eastAsia="zh-CN"/>
        </w:rPr>
        <w:t>平均</w:t>
      </w:r>
      <w:r>
        <w:rPr>
          <w:rFonts w:hint="eastAsia" w:ascii="Times New Roman" w:hAnsi="微软雅黑" w:eastAsia="宋体" w:cs="微软雅黑"/>
          <w:i w:val="0"/>
          <w:iCs w:val="0"/>
          <w:caps w:val="0"/>
          <w:color w:val="auto"/>
          <w:spacing w:val="0"/>
          <w:sz w:val="28"/>
          <w:szCs w:val="27"/>
          <w:shd w:val="clear" w:fill="FFFFFF"/>
        </w:rPr>
        <w:t>关闭时长。 合并为“生命周期”一项</w:t>
      </w:r>
      <w:r>
        <w:rPr>
          <w:rFonts w:hint="eastAsia" w:ascii="Times New Roman" w:hAnsi="微软雅黑" w:eastAsia="宋体" w:cs="微软雅黑"/>
          <w:i w:val="0"/>
          <w:iCs w:val="0"/>
          <w:caps w:val="0"/>
          <w:color w:val="auto"/>
          <w:spacing w:val="0"/>
          <w:sz w:val="28"/>
          <w:szCs w:val="27"/>
          <w:shd w:val="clear" w:fill="FFFFFF"/>
          <w:lang w:eastAsia="zh-CN"/>
        </w:rPr>
        <w:t>，</w:t>
      </w:r>
      <w:r>
        <w:rPr>
          <w:rFonts w:hint="eastAsia" w:ascii="Times New Roman" w:hAnsi="微软雅黑" w:eastAsia="宋体" w:cs="微软雅黑"/>
          <w:i w:val="0"/>
          <w:iCs w:val="0"/>
          <w:caps w:val="0"/>
          <w:color w:val="auto"/>
          <w:spacing w:val="0"/>
          <w:sz w:val="28"/>
          <w:szCs w:val="27"/>
          <w:shd w:val="clear" w:fill="FFFFFF"/>
        </w:rPr>
        <w:t>使用加权合成，将合并时长、关闭时长合成为一个综合“PR 生命周期”指标。</w:t>
      </w:r>
      <w:r>
        <w:rPr>
          <w:rFonts w:hint="eastAsia" w:ascii="Times New Roman" w:hAnsi="微软雅黑" w:eastAsia="宋体" w:cs="微软雅黑"/>
          <w:i w:val="0"/>
          <w:iCs w:val="0"/>
          <w:caps w:val="0"/>
          <w:color w:val="auto"/>
          <w:spacing w:val="0"/>
          <w:sz w:val="28"/>
          <w:szCs w:val="27"/>
          <w:shd w:val="clear" w:fill="FFFFFF"/>
          <w:lang w:val="en-US" w:eastAsia="zh-CN"/>
        </w:rPr>
        <w:t>生命周期</w:t>
      </w:r>
      <w:r>
        <w:rPr>
          <w:rFonts w:hint="eastAsia" w:ascii="Times New Roman" w:hAnsi="微软雅黑" w:eastAsia="宋体" w:cs="微软雅黑"/>
          <w:i w:val="0"/>
          <w:iCs w:val="0"/>
          <w:caps w:val="0"/>
          <w:color w:val="auto"/>
          <w:spacing w:val="0"/>
          <w:sz w:val="28"/>
          <w:szCs w:val="27"/>
          <w:shd w:val="clear" w:fill="FFFFFF"/>
        </w:rPr>
        <w:t xml:space="preserve">= </w:t>
      </w:r>
      <w:r>
        <w:rPr>
          <w:rFonts w:hint="eastAsia" w:ascii="Times New Roman" w:hAnsi="微软雅黑" w:eastAsia="宋体" w:cs="微软雅黑"/>
          <w:i w:val="0"/>
          <w:iCs w:val="0"/>
          <w:caps w:val="0"/>
          <w:color w:val="auto"/>
          <w:spacing w:val="0"/>
          <w:sz w:val="28"/>
          <w:szCs w:val="27"/>
          <w:shd w:val="clear" w:fill="FFFFFF"/>
          <w:lang w:val="en-US" w:eastAsia="zh-CN"/>
        </w:rPr>
        <w:t>0.5</w:t>
      </w:r>
      <w:r>
        <w:rPr>
          <w:rFonts w:hint="eastAsia" w:ascii="Times New Roman" w:hAnsi="微软雅黑" w:eastAsia="宋体" w:cs="微软雅黑"/>
          <w:i w:val="0"/>
          <w:iCs w:val="0"/>
          <w:caps w:val="0"/>
          <w:color w:val="auto"/>
          <w:spacing w:val="0"/>
          <w:sz w:val="28"/>
          <w:szCs w:val="27"/>
          <w:shd w:val="clear" w:fill="FFFFFF"/>
        </w:rPr>
        <w:t xml:space="preserve">×(合并时长) + </w:t>
      </w:r>
      <w:r>
        <w:rPr>
          <w:rFonts w:hint="eastAsia" w:ascii="Times New Roman" w:hAnsi="微软雅黑" w:eastAsia="宋体" w:cs="微软雅黑"/>
          <w:i w:val="0"/>
          <w:iCs w:val="0"/>
          <w:caps w:val="0"/>
          <w:color w:val="auto"/>
          <w:spacing w:val="0"/>
          <w:sz w:val="28"/>
          <w:szCs w:val="27"/>
          <w:shd w:val="clear" w:fill="FFFFFF"/>
          <w:lang w:val="en-US" w:eastAsia="zh-CN"/>
        </w:rPr>
        <w:t>0.5</w:t>
      </w:r>
      <w:r>
        <w:rPr>
          <w:rFonts w:hint="eastAsia" w:ascii="Times New Roman" w:hAnsi="微软雅黑" w:eastAsia="宋体" w:cs="微软雅黑"/>
          <w:i w:val="0"/>
          <w:iCs w:val="0"/>
          <w:caps w:val="0"/>
          <w:color w:val="auto"/>
          <w:spacing w:val="0"/>
          <w:sz w:val="28"/>
          <w:szCs w:val="27"/>
          <w:shd w:val="clear" w:fill="FFFFFF"/>
        </w:rPr>
        <w:t xml:space="preserve">×(关闭时长) </w:t>
      </w:r>
      <w:r>
        <w:rPr>
          <w:rFonts w:hint="eastAsia" w:ascii="Times New Roman" w:hAnsi="微软雅黑" w:eastAsia="宋体" w:cs="微软雅黑"/>
          <w:i w:val="0"/>
          <w:iCs w:val="0"/>
          <w:caps w:val="0"/>
          <w:color w:val="auto"/>
          <w:spacing w:val="0"/>
          <w:sz w:val="28"/>
          <w:szCs w:val="27"/>
          <w:shd w:val="clear" w:fill="FFFFFF"/>
          <w:lang w:eastAsia="zh-CN"/>
        </w:rPr>
        <w:t>，</w:t>
      </w:r>
      <w:r>
        <w:rPr>
          <w:rFonts w:hint="eastAsia" w:ascii="Times New Roman" w:hAnsi="微软雅黑" w:eastAsia="宋体" w:cs="微软雅黑"/>
          <w:i w:val="0"/>
          <w:iCs w:val="0"/>
          <w:caps w:val="0"/>
          <w:color w:val="auto"/>
          <w:spacing w:val="0"/>
          <w:sz w:val="28"/>
          <w:szCs w:val="27"/>
          <w:shd w:val="clear" w:fill="FFFFFF"/>
        </w:rPr>
        <w:t>这里各占 50%</w:t>
      </w:r>
      <w:r>
        <w:rPr>
          <w:rFonts w:hint="eastAsia" w:ascii="Times New Roman" w:hAnsi="微软雅黑" w:eastAsia="宋体" w:cs="微软雅黑"/>
          <w:i w:val="0"/>
          <w:iCs w:val="0"/>
          <w:caps w:val="0"/>
          <w:color w:val="auto"/>
          <w:spacing w:val="0"/>
          <w:sz w:val="28"/>
          <w:szCs w:val="27"/>
          <w:shd w:val="clear" w:fill="FFFFFF"/>
          <w:lang w:val="en-US" w:eastAsia="zh-CN"/>
        </w:rPr>
        <w:t>,</w:t>
      </w:r>
      <w:r>
        <w:rPr>
          <w:rFonts w:hint="eastAsia" w:ascii="Times New Roman" w:hAnsi="微软雅黑" w:eastAsia="宋体" w:cs="微软雅黑"/>
          <w:i w:val="0"/>
          <w:iCs w:val="0"/>
          <w:caps w:val="0"/>
          <w:color w:val="auto"/>
          <w:spacing w:val="0"/>
          <w:sz w:val="28"/>
          <w:szCs w:val="27"/>
          <w:shd w:val="clear" w:fill="FFFFFF"/>
        </w:rPr>
        <w:t>时间越短代表项目在处理 PR 时更高效</w:t>
      </w:r>
      <w:r>
        <w:rPr>
          <w:rFonts w:hint="eastAsia" w:ascii="Times New Roman" w:hAnsi="微软雅黑" w:eastAsia="宋体" w:cs="微软雅黑"/>
          <w:i w:val="0"/>
          <w:iCs w:val="0"/>
          <w:caps w:val="0"/>
          <w:color w:val="auto"/>
          <w:spacing w:val="0"/>
          <w:sz w:val="28"/>
          <w:szCs w:val="27"/>
          <w:shd w:val="clear" w:fill="FFFFFF"/>
          <w:lang w:val="en-US" w:eastAsia="zh-CN"/>
        </w:rPr>
        <w:t>,开发效率越高</w:t>
      </w:r>
      <w:r>
        <w:rPr>
          <w:rFonts w:hint="eastAsia" w:ascii="Times New Roman" w:hAnsi="微软雅黑" w:eastAsia="宋体" w:cs="微软雅黑"/>
          <w:i w:val="0"/>
          <w:iCs w:val="0"/>
          <w:caps w:val="0"/>
          <w:color w:val="auto"/>
          <w:spacing w:val="0"/>
          <w:sz w:val="28"/>
          <w:szCs w:val="27"/>
          <w:shd w:val="clear" w:fill="FFFFFF"/>
        </w:rPr>
        <w:t>。</w:t>
      </w:r>
    </w:p>
    <w:p w14:paraId="1EB6081A">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归一化处理： 由于时长越短越好，采用反向的最大 - 最小归一化，先进行正常的 Min - Max 再用 1 - x 做反转，将结果映射到 0～100 分区间，时间越长分数越低。 </w:t>
      </w:r>
    </w:p>
    <w:p w14:paraId="64080E63">
      <w:pPr>
        <w:numPr>
          <w:ilvl w:val="0"/>
          <w:numId w:val="6"/>
        </w:numPr>
        <w:snapToGrid/>
        <w:spacing w:beforeAutospacing="0" w:afterAutospacing="0" w:line="360" w:lineRule="auto"/>
        <w:ind w:left="0" w:leftChars="0" w:right="0" w:rightChars="0" w:firstLine="0" w:firstLineChars="0"/>
        <w:jc w:val="left"/>
        <w:outlineLvl w:val="2"/>
        <w:rPr>
          <w:rFonts w:hint="eastAsia" w:ascii="Times New Roman" w:hAnsi="微软雅黑" w:eastAsia="宋体" w:cs="微软雅黑"/>
          <w:b/>
          <w:i w:val="0"/>
          <w:iCs w:val="0"/>
          <w:caps w:val="0"/>
          <w:color w:val="auto"/>
          <w:spacing w:val="0"/>
          <w:sz w:val="28"/>
          <w:szCs w:val="27"/>
          <w:shd w:val="clear" w:fill="FFFFFF"/>
        </w:rPr>
      </w:pPr>
      <w:r>
        <w:rPr>
          <w:rFonts w:hint="eastAsia" w:ascii="Times New Roman" w:hAnsi="微软雅黑" w:eastAsia="宋体" w:cs="微软雅黑"/>
          <w:b/>
          <w:i w:val="0"/>
          <w:iCs w:val="0"/>
          <w:caps w:val="0"/>
          <w:color w:val="auto"/>
          <w:spacing w:val="0"/>
          <w:sz w:val="28"/>
          <w:szCs w:val="27"/>
          <w:shd w:val="clear" w:fill="FFFFFF"/>
        </w:rPr>
        <w:t>指标二：PR 响应时长：</w:t>
      </w:r>
    </w:p>
    <w:p w14:paraId="33F58EEE">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数据</w:t>
      </w:r>
      <w:r>
        <w:rPr>
          <w:rFonts w:hint="eastAsia" w:ascii="Times New Roman" w:hAnsi="微软雅黑" w:eastAsia="宋体" w:cs="微软雅黑"/>
          <w:i w:val="0"/>
          <w:iCs w:val="0"/>
          <w:caps w:val="0"/>
          <w:color w:val="auto"/>
          <w:spacing w:val="0"/>
          <w:sz w:val="28"/>
          <w:szCs w:val="27"/>
          <w:shd w:val="clear" w:fill="FFFFFF"/>
          <w:lang w:val="en-US" w:eastAsia="zh-CN"/>
        </w:rPr>
        <w:t>来源</w:t>
      </w:r>
      <w:r>
        <w:rPr>
          <w:rFonts w:hint="eastAsia" w:ascii="Times New Roman" w:hAnsi="微软雅黑" w:eastAsia="宋体" w:cs="微软雅黑"/>
          <w:i w:val="0"/>
          <w:iCs w:val="0"/>
          <w:caps w:val="0"/>
          <w:color w:val="auto"/>
          <w:spacing w:val="0"/>
          <w:sz w:val="28"/>
          <w:szCs w:val="27"/>
          <w:shd w:val="clear" w:fill="FFFFFF"/>
        </w:rPr>
        <w:t xml:space="preserve">：change request response time.json </w:t>
      </w:r>
    </w:p>
    <w:p w14:paraId="793123F2">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计算思路：获取每个 PR 的响应时间（按照年/月分组存储）</w:t>
      </w:r>
      <w:r>
        <w:rPr>
          <w:rFonts w:hint="eastAsia" w:ascii="Times New Roman" w:hAnsi="微软雅黑" w:eastAsia="宋体" w:cs="微软雅黑"/>
          <w:i w:val="0"/>
          <w:iCs w:val="0"/>
          <w:caps w:val="0"/>
          <w:color w:val="auto"/>
          <w:spacing w:val="0"/>
          <w:sz w:val="28"/>
          <w:szCs w:val="27"/>
          <w:shd w:val="clear" w:fill="FFFFFF"/>
          <w:lang w:eastAsia="zh-CN"/>
        </w:rPr>
        <w:t>。</w:t>
      </w:r>
      <w:r>
        <w:rPr>
          <w:rFonts w:hint="eastAsia" w:ascii="Times New Roman" w:hAnsi="微软雅黑" w:eastAsia="宋体" w:cs="微软雅黑"/>
          <w:i w:val="0"/>
          <w:iCs w:val="0"/>
          <w:caps w:val="0"/>
          <w:color w:val="auto"/>
          <w:spacing w:val="0"/>
          <w:sz w:val="28"/>
          <w:szCs w:val="27"/>
          <w:shd w:val="clear" w:fill="FFFFFF"/>
        </w:rPr>
        <w:t xml:space="preserve">将同一年的响应时长累计，得到该项目在该年度/月份的总响应时长。同样，时间越短表示响应效率越高，因此要做反向的归一化处理，最终映射到 0～100 分区间。 </w:t>
      </w:r>
    </w:p>
    <w:p w14:paraId="50C8A261">
      <w:pPr>
        <w:numPr>
          <w:ilvl w:val="0"/>
          <w:numId w:val="6"/>
        </w:numPr>
        <w:snapToGrid/>
        <w:spacing w:beforeAutospacing="0" w:afterAutospacing="0" w:line="360" w:lineRule="auto"/>
        <w:ind w:left="0" w:leftChars="0" w:right="0" w:rightChars="0" w:firstLine="0" w:firstLineChars="0"/>
        <w:jc w:val="left"/>
        <w:outlineLvl w:val="2"/>
        <w:rPr>
          <w:rFonts w:hint="eastAsia" w:ascii="Times New Roman" w:hAnsi="微软雅黑" w:eastAsia="宋体" w:cs="微软雅黑"/>
          <w:b/>
          <w:i w:val="0"/>
          <w:iCs w:val="0"/>
          <w:caps w:val="0"/>
          <w:color w:val="auto"/>
          <w:spacing w:val="0"/>
          <w:sz w:val="28"/>
          <w:szCs w:val="27"/>
          <w:shd w:val="clear" w:fill="FFFFFF"/>
        </w:rPr>
      </w:pPr>
      <w:r>
        <w:rPr>
          <w:rFonts w:hint="eastAsia" w:ascii="Times New Roman" w:hAnsi="微软雅黑" w:eastAsia="宋体" w:cs="微软雅黑"/>
          <w:b/>
          <w:i w:val="0"/>
          <w:iCs w:val="0"/>
          <w:caps w:val="0"/>
          <w:color w:val="auto"/>
          <w:spacing w:val="0"/>
          <w:sz w:val="28"/>
          <w:szCs w:val="27"/>
          <w:shd w:val="clear" w:fill="FFFFFF"/>
        </w:rPr>
        <w:t>综合计算：项目开发效率得分：</w:t>
      </w:r>
    </w:p>
    <w:p w14:paraId="3A6EE7D3">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有了“PR 生命周期”和“PR 响应时长”两大指标后，按照设定的权重进行合成： - PR 响应时长占 50%； - PR 生命周期中又包含两个子指标（合并时长、关闭时长），各占 25%（或先行加权成一个指标，再占剩余 50%）。 </w:t>
      </w:r>
    </w:p>
    <w:p w14:paraId="388A5200">
      <w:pPr>
        <w:numPr>
          <w:ilvl w:val="0"/>
          <w:numId w:val="4"/>
        </w:numPr>
        <w:snapToGrid/>
        <w:spacing w:before="156" w:beforeLines="50" w:beforeAutospacing="0" w:afterAutospacing="0" w:line="360" w:lineRule="auto"/>
        <w:ind w:left="0" w:leftChars="0" w:right="0" w:rightChars="0" w:firstLine="0" w:firstLineChars="0"/>
        <w:jc w:val="left"/>
        <w:outlineLvl w:val="1"/>
        <w:rPr>
          <w:rFonts w:hint="eastAsia" w:ascii="Times New Roman" w:hAnsi="微软雅黑" w:eastAsia="宋体" w:cs="微软雅黑"/>
          <w:b/>
          <w:i w:val="0"/>
          <w:iCs w:val="0"/>
          <w:caps w:val="0"/>
          <w:color w:val="auto"/>
          <w:spacing w:val="0"/>
          <w:sz w:val="30"/>
          <w:szCs w:val="27"/>
          <w:shd w:val="clear" w:fill="FFFFFF"/>
        </w:rPr>
      </w:pPr>
      <w:r>
        <w:rPr>
          <w:rFonts w:hint="eastAsia" w:ascii="Times New Roman" w:hAnsi="微软雅黑" w:eastAsia="宋体" w:cs="微软雅黑"/>
          <w:b/>
          <w:i w:val="0"/>
          <w:iCs w:val="0"/>
          <w:caps w:val="0"/>
          <w:color w:val="auto"/>
          <w:spacing w:val="0"/>
          <w:sz w:val="30"/>
          <w:szCs w:val="27"/>
          <w:shd w:val="clear" w:fill="FFFFFF"/>
          <w:lang w:val="en-US" w:eastAsia="zh-CN"/>
        </w:rPr>
        <w:t>社区关注度</w:t>
      </w:r>
      <w:r>
        <w:rPr>
          <w:rFonts w:hint="eastAsia" w:ascii="Times New Roman" w:hAnsi="微软雅黑" w:eastAsia="宋体" w:cs="微软雅黑"/>
          <w:b/>
          <w:i w:val="0"/>
          <w:iCs w:val="0"/>
          <w:caps w:val="0"/>
          <w:color w:val="auto"/>
          <w:spacing w:val="0"/>
          <w:sz w:val="30"/>
          <w:szCs w:val="27"/>
          <w:shd w:val="clear" w:fill="FFFFFF"/>
        </w:rPr>
        <w:t xml:space="preserve"> </w:t>
      </w:r>
    </w:p>
    <w:p w14:paraId="2689D957">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数据来源：来源于“technical_fork.json”“stars.json”以及“attention.json”</w:t>
      </w:r>
    </w:p>
    <w:p w14:paraId="2823C143">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计算思路：按年汇总数据：针对从文件中读取到的如“fork_data”和“stars_data”这类月度数据，按照年份进行汇总。具体做法是从日期字符串中提取出年份，若该年份首次出现，则初始化对应年份的数据值为 0，之后将属于该年份的各月度数据进行累加，从而得到每年的数据情况。 </w:t>
      </w:r>
    </w:p>
    <w:p w14:paraId="6AB9DDD1">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bookmarkStart w:id="0" w:name="OLE_LINK1"/>
      <w:r>
        <w:rPr>
          <w:rFonts w:hint="eastAsia" w:ascii="Times New Roman" w:hAnsi="微软雅黑" w:eastAsia="宋体" w:cs="微软雅黑"/>
          <w:i w:val="0"/>
          <w:iCs w:val="0"/>
          <w:caps w:val="0"/>
          <w:color w:val="auto"/>
          <w:spacing w:val="0"/>
          <w:sz w:val="28"/>
          <w:szCs w:val="27"/>
          <w:shd w:val="clear" w:fill="FFFFFF"/>
        </w:rPr>
        <w:t>计算社区关注度（attention）：先获取“fork_data”和“stars_data”共同涉及的年份集合，并进行排序。对于每一年，获取该年对应的“fork_value”和“stars_value”，在计算增长率时，若为第一年则增长率设为 0，非第一年则根据当年与上一年“fork_value”和“stars_value”的总和差值来计算增长率。最后，按照设定的权重（“fork”占 0.4、“stars”占 0.4、“growth rate”占 0.2）来计算该年的“attention”数值</w:t>
      </w:r>
      <w:bookmarkEnd w:id="0"/>
      <w:r>
        <w:rPr>
          <w:rFonts w:hint="eastAsia" w:ascii="Times New Roman" w:hAnsi="微软雅黑" w:eastAsia="宋体" w:cs="微软雅黑"/>
          <w:i w:val="0"/>
          <w:iCs w:val="0"/>
          <w:caps w:val="0"/>
          <w:color w:val="auto"/>
          <w:spacing w:val="0"/>
          <w:sz w:val="28"/>
          <w:szCs w:val="27"/>
          <w:shd w:val="clear" w:fill="FFFFFF"/>
        </w:rPr>
        <w:t xml:space="preserve">，以此体现社区关注度情况。 </w:t>
      </w:r>
    </w:p>
    <w:p w14:paraId="5C627A23">
      <w:pPr>
        <w:numPr>
          <w:ilvl w:val="0"/>
          <w:numId w:val="4"/>
        </w:numPr>
        <w:snapToGrid/>
        <w:spacing w:before="156" w:beforeLines="50" w:beforeAutospacing="0" w:afterAutospacing="0" w:line="360" w:lineRule="auto"/>
        <w:ind w:left="0" w:leftChars="0" w:right="0" w:rightChars="0" w:firstLine="0" w:firstLineChars="0"/>
        <w:jc w:val="left"/>
        <w:outlineLvl w:val="1"/>
        <w:rPr>
          <w:rFonts w:hint="eastAsia" w:ascii="Times New Roman" w:hAnsi="微软雅黑" w:eastAsia="宋体" w:cs="微软雅黑"/>
          <w:b/>
          <w:i w:val="0"/>
          <w:iCs w:val="0"/>
          <w:caps w:val="0"/>
          <w:color w:val="auto"/>
          <w:spacing w:val="0"/>
          <w:sz w:val="30"/>
          <w:szCs w:val="27"/>
          <w:shd w:val="clear" w:fill="FFFFFF"/>
        </w:rPr>
      </w:pPr>
      <w:r>
        <w:rPr>
          <w:rFonts w:hint="eastAsia" w:ascii="Times New Roman" w:hAnsi="微软雅黑" w:eastAsia="宋体" w:cs="微软雅黑"/>
          <w:b/>
          <w:i w:val="0"/>
          <w:iCs w:val="0"/>
          <w:caps w:val="0"/>
          <w:color w:val="auto"/>
          <w:spacing w:val="0"/>
          <w:sz w:val="30"/>
          <w:szCs w:val="27"/>
          <w:shd w:val="clear" w:fill="FFFFFF"/>
        </w:rPr>
        <w:t xml:space="preserve">问题解决能力   </w:t>
      </w:r>
    </w:p>
    <w:p w14:paraId="0CFC6497">
      <w:pPr>
        <w:numPr>
          <w:ilvl w:val="0"/>
          <w:numId w:val="0"/>
        </w:numPr>
        <w:snapToGrid/>
        <w:spacing w:beforeAutospacing="0" w:afterAutospacing="0" w:line="360" w:lineRule="auto"/>
        <w:ind w:left="0" w:leftChars="0" w:right="0" w:rightChars="0" w:firstLine="0" w:firstLineChars="0"/>
        <w:jc w:val="left"/>
        <w:outlineLvl w:val="2"/>
        <w:rPr>
          <w:rFonts w:hint="eastAsia" w:ascii="Times New Roman" w:hAnsi="微软雅黑" w:eastAsia="宋体" w:cs="微软雅黑"/>
          <w:b/>
          <w:i w:val="0"/>
          <w:iCs w:val="0"/>
          <w:caps w:val="0"/>
          <w:color w:val="auto"/>
          <w:spacing w:val="0"/>
          <w:sz w:val="28"/>
          <w:szCs w:val="27"/>
          <w:shd w:val="clear" w:fill="FFFFFF"/>
        </w:rPr>
      </w:pPr>
      <w:r>
        <w:rPr>
          <w:rFonts w:hint="eastAsia" w:ascii="Times New Roman" w:hAnsi="微软雅黑" w:eastAsia="宋体" w:cs="微软雅黑"/>
          <w:b/>
          <w:i w:val="0"/>
          <w:iCs w:val="0"/>
          <w:caps w:val="0"/>
          <w:color w:val="auto"/>
          <w:spacing w:val="0"/>
          <w:sz w:val="28"/>
          <w:szCs w:val="27"/>
          <w:shd w:val="clear" w:fill="FFFFFF"/>
          <w:lang w:val="en-US" w:eastAsia="zh-CN"/>
        </w:rPr>
        <w:t>1.</w:t>
      </w:r>
      <w:r>
        <w:rPr>
          <w:rFonts w:hint="eastAsia" w:ascii="Times New Roman" w:hAnsi="微软雅黑" w:eastAsia="宋体" w:cs="微软雅黑"/>
          <w:b/>
          <w:i w:val="0"/>
          <w:iCs w:val="0"/>
          <w:caps w:val="0"/>
          <w:color w:val="auto"/>
          <w:spacing w:val="0"/>
          <w:sz w:val="28"/>
          <w:szCs w:val="27"/>
          <w:shd w:val="clear" w:fill="FFFFFF"/>
        </w:rPr>
        <w:t>指标</w:t>
      </w:r>
      <w:r>
        <w:rPr>
          <w:rFonts w:hint="eastAsia" w:ascii="Times New Roman" w:hAnsi="微软雅黑" w:eastAsia="宋体" w:cs="微软雅黑"/>
          <w:b/>
          <w:i w:val="0"/>
          <w:iCs w:val="0"/>
          <w:caps w:val="0"/>
          <w:color w:val="auto"/>
          <w:spacing w:val="0"/>
          <w:sz w:val="28"/>
          <w:szCs w:val="27"/>
          <w:shd w:val="clear" w:fill="FFFFFF"/>
          <w:lang w:val="en-US" w:eastAsia="zh-CN"/>
        </w:rPr>
        <w:t>一</w:t>
      </w:r>
      <w:r>
        <w:rPr>
          <w:rFonts w:hint="eastAsia" w:ascii="Times New Roman" w:hAnsi="微软雅黑" w:eastAsia="宋体" w:cs="微软雅黑"/>
          <w:b/>
          <w:i w:val="0"/>
          <w:iCs w:val="0"/>
          <w:caps w:val="0"/>
          <w:color w:val="auto"/>
          <w:spacing w:val="0"/>
          <w:sz w:val="28"/>
          <w:szCs w:val="27"/>
          <w:shd w:val="clear" w:fill="FFFFFF"/>
        </w:rPr>
        <w:t>：</w:t>
      </w:r>
      <w:r>
        <w:rPr>
          <w:rFonts w:hint="eastAsia" w:ascii="Times New Roman" w:hAnsi="微软雅黑" w:eastAsia="宋体" w:cs="微软雅黑"/>
          <w:b/>
          <w:i w:val="0"/>
          <w:iCs w:val="0"/>
          <w:caps w:val="0"/>
          <w:color w:val="auto"/>
          <w:spacing w:val="0"/>
          <w:sz w:val="28"/>
          <w:szCs w:val="27"/>
          <w:shd w:val="clear" w:fill="FFFFFF"/>
          <w:lang w:val="en-US" w:eastAsia="zh-CN"/>
        </w:rPr>
        <w:t>关闭率</w:t>
      </w:r>
      <w:r>
        <w:rPr>
          <w:rFonts w:hint="eastAsia" w:ascii="Times New Roman" w:hAnsi="微软雅黑" w:eastAsia="宋体" w:cs="微软雅黑"/>
          <w:b/>
          <w:i w:val="0"/>
          <w:iCs w:val="0"/>
          <w:caps w:val="0"/>
          <w:color w:val="auto"/>
          <w:spacing w:val="0"/>
          <w:sz w:val="28"/>
          <w:szCs w:val="27"/>
          <w:shd w:val="clear" w:fill="FFFFFF"/>
        </w:rPr>
        <w:t>：</w:t>
      </w:r>
    </w:p>
    <w:p w14:paraId="0C86DCCA">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lang w:val="en-US" w:eastAsia="zh-CN"/>
        </w:rPr>
      </w:pPr>
      <w:r>
        <w:rPr>
          <w:rFonts w:hint="eastAsia" w:ascii="Times New Roman" w:hAnsi="微软雅黑" w:eastAsia="宋体" w:cs="微软雅黑"/>
          <w:i w:val="0"/>
          <w:iCs w:val="0"/>
          <w:caps w:val="0"/>
          <w:color w:val="auto"/>
          <w:spacing w:val="0"/>
          <w:sz w:val="28"/>
          <w:szCs w:val="27"/>
          <w:shd w:val="clear" w:fill="FFFFFF"/>
          <w:lang w:val="en-US" w:eastAsia="zh-CN"/>
        </w:rPr>
        <w:t>数据来源：</w:t>
      </w:r>
      <w:r>
        <w:rPr>
          <w:rFonts w:hint="eastAsia" w:ascii="Times New Roman" w:hAnsi="微软雅黑" w:eastAsia="宋体" w:cs="微软雅黑"/>
          <w:i w:val="0"/>
          <w:iCs w:val="0"/>
          <w:caps w:val="0"/>
          <w:color w:val="auto"/>
          <w:spacing w:val="0"/>
          <w:sz w:val="28"/>
          <w:szCs w:val="27"/>
          <w:shd w:val="clear" w:fill="FFFFFF"/>
        </w:rPr>
        <w:t>Issue 数量与关闭率：issues_new.json：记录每月/每季度新增 Issue 的数量；issues_closed.json：记录对应时间段内已关闭的 Issue 数量</w:t>
      </w:r>
      <w:r>
        <w:rPr>
          <w:rFonts w:hint="eastAsia" w:ascii="Times New Roman" w:hAnsi="微软雅黑" w:eastAsia="宋体" w:cs="微软雅黑"/>
          <w:i w:val="0"/>
          <w:iCs w:val="0"/>
          <w:caps w:val="0"/>
          <w:color w:val="auto"/>
          <w:spacing w:val="0"/>
          <w:sz w:val="28"/>
          <w:szCs w:val="27"/>
          <w:shd w:val="clear" w:fill="FFFFFF"/>
          <w:lang w:eastAsia="zh-CN"/>
        </w:rPr>
        <w:t>；</w:t>
      </w:r>
    </w:p>
    <w:p w14:paraId="0BABA3F8">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lang w:val="en-US" w:eastAsia="zh-CN"/>
        </w:rPr>
        <w:t>计算思路：</w:t>
      </w:r>
      <w:r>
        <w:rPr>
          <w:rFonts w:hint="eastAsia" w:ascii="Times New Roman" w:hAnsi="微软雅黑" w:eastAsia="宋体" w:cs="微软雅黑"/>
          <w:i w:val="0"/>
          <w:iCs w:val="0"/>
          <w:caps w:val="0"/>
          <w:color w:val="auto"/>
          <w:spacing w:val="0"/>
          <w:sz w:val="28"/>
          <w:szCs w:val="27"/>
          <w:shd w:val="clear" w:fill="FFFFFF"/>
        </w:rPr>
        <w:t>关闭率（Close Rate）：Close Rate = 已关闭的 Issue 数 / 新增的 Issue 数。</w:t>
      </w:r>
    </w:p>
    <w:p w14:paraId="639183CE">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统计某时间段（如月度或季度）内新增加的 Issue 及其关闭数量。 </w:t>
      </w:r>
    </w:p>
    <w:p w14:paraId="4637FB4A">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意义：高关闭率通常表明项目能够及时、有效地解决问题；低关闭率可能代表项目积压了大量未处理的 Issue。 </w:t>
      </w:r>
    </w:p>
    <w:p w14:paraId="70CE20AC">
      <w:pPr>
        <w:numPr>
          <w:ilvl w:val="0"/>
          <w:numId w:val="0"/>
        </w:numPr>
        <w:snapToGrid/>
        <w:spacing w:beforeAutospacing="0" w:afterAutospacing="0" w:line="360" w:lineRule="auto"/>
        <w:ind w:left="0" w:leftChars="0" w:right="0" w:rightChars="0" w:firstLine="0" w:firstLineChars="0"/>
        <w:jc w:val="left"/>
        <w:outlineLvl w:val="2"/>
        <w:rPr>
          <w:rFonts w:hint="eastAsia" w:ascii="Times New Roman" w:hAnsi="微软雅黑" w:eastAsia="宋体" w:cs="微软雅黑"/>
          <w:b/>
          <w:i w:val="0"/>
          <w:iCs w:val="0"/>
          <w:caps w:val="0"/>
          <w:color w:val="auto"/>
          <w:spacing w:val="0"/>
          <w:sz w:val="28"/>
          <w:szCs w:val="27"/>
          <w:shd w:val="clear" w:fill="FFFFFF"/>
        </w:rPr>
      </w:pPr>
      <w:r>
        <w:rPr>
          <w:rFonts w:hint="eastAsia" w:ascii="Times New Roman" w:hAnsi="微软雅黑" w:eastAsia="宋体" w:cs="微软雅黑"/>
          <w:b/>
          <w:i w:val="0"/>
          <w:iCs w:val="0"/>
          <w:caps w:val="0"/>
          <w:color w:val="auto"/>
          <w:spacing w:val="0"/>
          <w:sz w:val="28"/>
          <w:szCs w:val="27"/>
          <w:shd w:val="clear" w:fill="FFFFFF"/>
          <w:lang w:val="en-US" w:eastAsia="zh-CN"/>
        </w:rPr>
        <w:t xml:space="preserve">2.指标二 </w:t>
      </w:r>
      <w:r>
        <w:rPr>
          <w:rFonts w:hint="eastAsia" w:ascii="Times New Roman" w:hAnsi="微软雅黑" w:eastAsia="宋体" w:cs="微软雅黑"/>
          <w:b/>
          <w:i w:val="0"/>
          <w:iCs w:val="0"/>
          <w:caps w:val="0"/>
          <w:color w:val="auto"/>
          <w:spacing w:val="0"/>
          <w:sz w:val="28"/>
          <w:szCs w:val="27"/>
          <w:shd w:val="clear" w:fill="FFFFFF"/>
        </w:rPr>
        <w:t xml:space="preserve">平均响应时长（Average Response Time）： </w:t>
      </w:r>
    </w:p>
    <w:p w14:paraId="337E647B">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lang w:val="en-US" w:eastAsia="zh-CN"/>
        </w:rPr>
      </w:pPr>
      <w:r>
        <w:rPr>
          <w:rFonts w:hint="eastAsia" w:ascii="Times New Roman" w:hAnsi="微软雅黑" w:eastAsia="宋体" w:cs="微软雅黑"/>
          <w:i w:val="0"/>
          <w:iCs w:val="0"/>
          <w:caps w:val="0"/>
          <w:color w:val="auto"/>
          <w:spacing w:val="0"/>
          <w:sz w:val="28"/>
          <w:szCs w:val="27"/>
          <w:shd w:val="clear" w:fill="FFFFFF"/>
          <w:lang w:val="en-US" w:eastAsia="zh-CN"/>
        </w:rPr>
        <w:t>数据来源：</w:t>
      </w:r>
      <w:r>
        <w:rPr>
          <w:rFonts w:hint="eastAsia" w:ascii="Times New Roman" w:hAnsi="微软雅黑" w:eastAsia="宋体" w:cs="微软雅黑"/>
          <w:i w:val="0"/>
          <w:iCs w:val="0"/>
          <w:caps w:val="0"/>
          <w:color w:val="auto"/>
          <w:spacing w:val="0"/>
          <w:sz w:val="28"/>
          <w:szCs w:val="27"/>
          <w:shd w:val="clear" w:fill="FFFFFF"/>
        </w:rPr>
        <w:t>Issue 响应时长： issue_response_time.json：每个 Issue 的首次响应所经历的时间。</w:t>
      </w:r>
    </w:p>
    <w:p w14:paraId="176DF2AE">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lang w:val="en-US" w:eastAsia="zh-CN"/>
        </w:rPr>
        <w:t>计算思路：</w:t>
      </w:r>
      <w:r>
        <w:rPr>
          <w:rFonts w:hint="eastAsia" w:ascii="Times New Roman" w:hAnsi="微软雅黑" w:eastAsia="宋体" w:cs="微软雅黑"/>
          <w:i w:val="0"/>
          <w:iCs w:val="0"/>
          <w:caps w:val="0"/>
          <w:color w:val="auto"/>
          <w:spacing w:val="0"/>
          <w:sz w:val="28"/>
          <w:szCs w:val="27"/>
          <w:shd w:val="clear" w:fill="FFFFFF"/>
        </w:rPr>
        <w:t xml:space="preserve">从 issue_response_time.json 中提取 Issue 的首次响应时间。 对该时间值取平均，得出“平均响应时长”。 </w:t>
      </w:r>
    </w:p>
    <w:p w14:paraId="62695A7E">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意义：若响应时间过长，表明项目维护团队可能人手不足或资源调配不合理；响应时间越短则意味着对社区问题反馈的处理更及时。 </w:t>
      </w:r>
    </w:p>
    <w:p w14:paraId="2D81925D">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lang w:val="en-US" w:eastAsia="zh-CN"/>
        </w:rPr>
        <w:t xml:space="preserve">指标三 </w:t>
      </w:r>
      <w:r>
        <w:rPr>
          <w:rFonts w:hint="eastAsia" w:ascii="Times New Roman" w:hAnsi="微软雅黑" w:eastAsia="宋体" w:cs="微软雅黑"/>
          <w:i w:val="0"/>
          <w:iCs w:val="0"/>
          <w:caps w:val="0"/>
          <w:color w:val="auto"/>
          <w:spacing w:val="0"/>
          <w:sz w:val="28"/>
          <w:szCs w:val="27"/>
          <w:shd w:val="clear" w:fill="FFFFFF"/>
        </w:rPr>
        <w:t>平均生命周期（Average Lifecycle）</w:t>
      </w:r>
    </w:p>
    <w:p w14:paraId="55C6C821">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lang w:val="en-US" w:eastAsia="zh-CN"/>
        </w:rPr>
      </w:pPr>
      <w:r>
        <w:rPr>
          <w:rFonts w:hint="eastAsia" w:ascii="Times New Roman" w:hAnsi="微软雅黑" w:eastAsia="宋体" w:cs="微软雅黑"/>
          <w:i w:val="0"/>
          <w:iCs w:val="0"/>
          <w:caps w:val="0"/>
          <w:color w:val="auto"/>
          <w:spacing w:val="0"/>
          <w:sz w:val="28"/>
          <w:szCs w:val="27"/>
          <w:shd w:val="clear" w:fill="FFFFFF"/>
          <w:lang w:val="en-US" w:eastAsia="zh-CN"/>
        </w:rPr>
        <w:t>数据来源：</w:t>
      </w:r>
      <w:r>
        <w:rPr>
          <w:rFonts w:hint="eastAsia" w:ascii="Times New Roman" w:hAnsi="微软雅黑" w:eastAsia="宋体" w:cs="微软雅黑"/>
          <w:i w:val="0"/>
          <w:iCs w:val="0"/>
          <w:caps w:val="0"/>
          <w:color w:val="auto"/>
          <w:spacing w:val="0"/>
          <w:sz w:val="28"/>
          <w:szCs w:val="27"/>
          <w:shd w:val="clear" w:fill="FFFFFF"/>
        </w:rPr>
        <w:t>Issue 生命周期：issue_age.json、issue_resolution_duration.json：分别可以表示从报告到解决的时长，或从报告到关闭/合并的总时间。</w:t>
      </w:r>
    </w:p>
    <w:p w14:paraId="2BAE2D2A">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lang w:val="en-US" w:eastAsia="zh-CN"/>
        </w:rPr>
        <w:t>计算方法：</w:t>
      </w:r>
      <w:r>
        <w:rPr>
          <w:rFonts w:hint="eastAsia" w:ascii="Times New Roman" w:hAnsi="微软雅黑" w:eastAsia="宋体" w:cs="微软雅黑"/>
          <w:i w:val="0"/>
          <w:iCs w:val="0"/>
          <w:caps w:val="0"/>
          <w:color w:val="auto"/>
          <w:spacing w:val="0"/>
          <w:sz w:val="28"/>
          <w:szCs w:val="27"/>
          <w:shd w:val="clear" w:fill="FFFFFF"/>
        </w:rPr>
        <w:t xml:space="preserve">使用 issue_age.json 或 issue_resolution_duration.json，统计 Issue 从报告到解决/关闭的时间。同样可对该时长取平均值。 </w:t>
      </w:r>
    </w:p>
    <w:p w14:paraId="4026E43F">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意义：生命周期越短，说明项目团队可以更快地修复 Bug 或实现功能需求，高效的开发维护能力能增强用户对项目的信赖。 </w:t>
      </w:r>
      <w:r>
        <w:rPr>
          <w:rFonts w:hint="eastAsia" w:ascii="Times New Roman" w:hAnsi="微软雅黑" w:eastAsia="宋体" w:cs="微软雅黑"/>
          <w:i w:val="0"/>
          <w:iCs w:val="0"/>
          <w:caps w:val="0"/>
          <w:color w:val="auto"/>
          <w:spacing w:val="0"/>
          <w:sz w:val="28"/>
          <w:szCs w:val="27"/>
          <w:shd w:val="clear" w:fill="FFFFFF"/>
          <w:lang w:val="en-US" w:eastAsia="zh-CN"/>
        </w:rPr>
        <w:t xml:space="preserve">  </w:t>
      </w:r>
      <w:r>
        <w:rPr>
          <w:rFonts w:hint="eastAsia" w:ascii="Times New Roman" w:hAnsi="微软雅黑" w:eastAsia="宋体" w:cs="微软雅黑"/>
          <w:i w:val="0"/>
          <w:iCs w:val="0"/>
          <w:caps w:val="0"/>
          <w:color w:val="auto"/>
          <w:spacing w:val="0"/>
          <w:sz w:val="28"/>
          <w:szCs w:val="27"/>
          <w:shd w:val="clear" w:fill="FFFFFF"/>
        </w:rPr>
        <w:t>综合计算：</w:t>
      </w:r>
    </w:p>
    <w:p w14:paraId="6205A32C">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问题解决能力分数：</w:t>
      </w:r>
    </w:p>
    <w:p w14:paraId="38ABC779">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加权组合：设定权重 w1, w2, w3 分别对应关闭率、平均响应时长、平均生命周期。由于响应时长和生命周期是“越短越好”，而关闭率是“越高越好”，需要事先对其做反向或正向归一化处理。</w:t>
      </w:r>
    </w:p>
    <w:p w14:paraId="62CC03E1">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含义：结果分数越高，表示该项目在处理社区问题时效率更高、响应更及时、解决率更佳；分数偏低则需要关注团队协作、资源分配或项目规划等方面是否存在改进空间。</w:t>
      </w:r>
    </w:p>
    <w:p w14:paraId="5AE8AF7E">
      <w:pPr>
        <w:numPr>
          <w:ilvl w:val="0"/>
          <w:numId w:val="4"/>
        </w:numPr>
        <w:snapToGrid/>
        <w:spacing w:before="156" w:beforeLines="50" w:beforeAutospacing="0" w:afterAutospacing="0" w:line="360" w:lineRule="auto"/>
        <w:ind w:left="0" w:leftChars="0" w:right="0" w:rightChars="0" w:firstLine="0" w:firstLineChars="0"/>
        <w:jc w:val="left"/>
        <w:outlineLvl w:val="1"/>
        <w:rPr>
          <w:rFonts w:hint="eastAsia" w:ascii="Times New Roman" w:hAnsi="微软雅黑" w:eastAsia="宋体" w:cs="微软雅黑"/>
          <w:b/>
          <w:i w:val="0"/>
          <w:iCs w:val="0"/>
          <w:caps w:val="0"/>
          <w:color w:val="auto"/>
          <w:spacing w:val="0"/>
          <w:sz w:val="30"/>
          <w:szCs w:val="27"/>
          <w:shd w:val="clear" w:fill="FFFFFF"/>
        </w:rPr>
      </w:pPr>
      <w:r>
        <w:rPr>
          <w:rFonts w:hint="eastAsia" w:ascii="Times New Roman" w:hAnsi="微软雅黑" w:eastAsia="宋体" w:cs="微软雅黑"/>
          <w:b/>
          <w:i w:val="0"/>
          <w:iCs w:val="0"/>
          <w:caps w:val="0"/>
          <w:color w:val="auto"/>
          <w:spacing w:val="0"/>
          <w:sz w:val="30"/>
          <w:szCs w:val="27"/>
          <w:shd w:val="clear" w:fill="FFFFFF"/>
        </w:rPr>
        <w:t xml:space="preserve">健康分数 </w:t>
      </w:r>
    </w:p>
    <w:p w14:paraId="2319A3D1">
      <w:pPr>
        <w:numPr>
          <w:ilvl w:val="0"/>
          <w:numId w:val="7"/>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指标标准化（Min - Max Scaling）：</w:t>
      </w:r>
    </w:p>
    <w:p w14:paraId="775820C5">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在获取完整且无重复项目名称的数据后，每个项目拥有四个原始指标分值。鉴于这些分值可能存在数量级或量纲差异，为确保计算可比性，需先进行“标准化”或“归一化”。Min - Max Scaling 计算简便、范围直观统一（0 - 100），便于后续计算与比较。 </w:t>
      </w:r>
    </w:p>
    <w:p w14:paraId="12E62CCA">
      <w:pPr>
        <w:numPr>
          <w:ilvl w:val="0"/>
          <w:numId w:val="7"/>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处理零值：在几何平均计算中，若任意一个指标分数为零，则整个健康分数会变为零。但实际业务场景下，分数为零可能源于数据缺失或统计口径问题，并非项目在此指标上毫无作为。为此，代码将所有 0 替换为一个极小正数（如 1e - 6），使几何平均在该指标上的贡献极低，但避免整体分数直接归零。 </w:t>
      </w:r>
    </w:p>
    <w:p w14:paraId="01B29496">
      <w:pPr>
        <w:numPr>
          <w:ilvl w:val="0"/>
          <w:numId w:val="7"/>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几何平均（Geometric Mean）计算健康分数：四个指标经标准化和零值处理后，记为 A, B, C, D，采用几何平均计算健康分数（Health_Score_Geometric）：Health_Score_Geometric = ⁴√(A × B × C × D)。几何平均特点为：若任意一个指标分数较低，整体结果会被大幅拉低，比算术平均更“敏感”；只有四个指标都较高时，最终分数才会取得较高值。 </w:t>
      </w:r>
    </w:p>
    <w:p w14:paraId="75797D4E">
      <w:pPr>
        <w:numPr>
          <w:ilvl w:val="0"/>
          <w:numId w:val="7"/>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将健康分数线性缩放到区间 30 - 90：即便使用几何平均，不同项目的健康分数仍可能集中于较小范围。为便于人眼区分与后续可视化，在几何平均结果基础上，做一次线性缩放，将分数分布在 30 - 90 的区间内。缩放公式如下：Health_Score_Scaled = 30 + 60 × (Health_Score_Geometric - min(GM)) / (max(GM) - min(GM))，其中 min(GM) 与 max(GM) 分别为几何平均分数的最小值和最大值，Health_Score_Scaled 因而分布于 30 到 90 之间，增强了分数的区分度和可读性。 </w:t>
      </w:r>
    </w:p>
    <w:p w14:paraId="70453F9C">
      <w:pPr>
        <w:numPr>
          <w:ilvl w:val="0"/>
          <w:numId w:val="4"/>
        </w:numPr>
        <w:snapToGrid/>
        <w:spacing w:before="156" w:beforeLines="50" w:beforeAutospacing="0" w:afterAutospacing="0" w:line="360" w:lineRule="auto"/>
        <w:ind w:left="0" w:leftChars="0" w:right="0" w:rightChars="0" w:firstLine="0" w:firstLineChars="0"/>
        <w:jc w:val="left"/>
        <w:outlineLvl w:val="1"/>
        <w:rPr>
          <w:rFonts w:hint="eastAsia" w:ascii="Times New Roman" w:hAnsi="微软雅黑" w:eastAsia="宋体" w:cs="微软雅黑"/>
          <w:b/>
          <w:i w:val="0"/>
          <w:iCs w:val="0"/>
          <w:caps w:val="0"/>
          <w:color w:val="auto"/>
          <w:spacing w:val="0"/>
          <w:sz w:val="30"/>
          <w:szCs w:val="27"/>
          <w:shd w:val="clear" w:fill="FFFFFF"/>
        </w:rPr>
      </w:pPr>
      <w:r>
        <w:rPr>
          <w:rFonts w:hint="eastAsia" w:ascii="Times New Roman" w:hAnsi="微软雅黑" w:eastAsia="宋体" w:cs="微软雅黑"/>
          <w:b/>
          <w:i w:val="0"/>
          <w:iCs w:val="0"/>
          <w:caps w:val="0"/>
          <w:color w:val="auto"/>
          <w:spacing w:val="0"/>
          <w:sz w:val="30"/>
          <w:szCs w:val="27"/>
          <w:shd w:val="clear" w:fill="FFFFFF"/>
        </w:rPr>
        <w:t xml:space="preserve">异常监测 </w:t>
      </w:r>
    </w:p>
    <w:p w14:paraId="60C7A71B">
      <w:pPr>
        <w:numPr>
          <w:ilvl w:val="0"/>
          <w:numId w:val="8"/>
        </w:numPr>
        <w:snapToGrid/>
        <w:spacing w:beforeAutospacing="0" w:afterAutospacing="0" w:line="360" w:lineRule="auto"/>
        <w:ind w:left="0" w:leftChars="0" w:right="0" w:rightChars="0" w:firstLine="0" w:firstLineChars="0"/>
        <w:jc w:val="left"/>
        <w:outlineLvl w:val="2"/>
        <w:rPr>
          <w:rFonts w:hint="eastAsia" w:ascii="Times New Roman" w:hAnsi="微软雅黑" w:eastAsia="宋体" w:cs="微软雅黑"/>
          <w:b/>
          <w:i w:val="0"/>
          <w:iCs w:val="0"/>
          <w:caps w:val="0"/>
          <w:color w:val="auto"/>
          <w:spacing w:val="0"/>
          <w:sz w:val="28"/>
          <w:szCs w:val="27"/>
          <w:shd w:val="clear" w:fill="FFFFFF"/>
        </w:rPr>
      </w:pPr>
      <w:r>
        <w:rPr>
          <w:rFonts w:hint="eastAsia" w:ascii="Times New Roman" w:hAnsi="微软雅黑" w:eastAsia="宋体" w:cs="微软雅黑"/>
          <w:b/>
          <w:i w:val="0"/>
          <w:iCs w:val="0"/>
          <w:caps w:val="0"/>
          <w:color w:val="auto"/>
          <w:spacing w:val="0"/>
          <w:sz w:val="28"/>
          <w:szCs w:val="27"/>
          <w:shd w:val="clear" w:fill="FFFFFF"/>
        </w:rPr>
        <w:t>整体计算思路：</w:t>
      </w:r>
    </w:p>
    <w:p w14:paraId="2F7A1EBA">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数据来源：每个项目在不同年份有两项指标，即参与度分数（attention_score）和活跃度分数（activity_score）。以“项目名称”与“年份”为依据，合并获取同一项目、同一年份的这两项数值。 </w:t>
      </w:r>
    </w:p>
    <w:p w14:paraId="0C2BCA81">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连续三年检测：判断某项目在连续三年的时间范围内，每一年是否都在“显著下降”（设定为≥10%）。这里的“三年”实际形成两个年度区间：第 1 年 → 第 2 年和第 2 年 → 第 3 年。</w:t>
      </w:r>
    </w:p>
    <w:p w14:paraId="381F16A2">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具体标准：对于该项目，在这两个相邻年度区间中，“参与度分数”与“活跃度分数”都要有超过 10% 的降幅，才视为“三年连续下降”。降幅计算：降幅 = (新值 - 旧值) / 旧值，若该比值 ≤ - 0.10（- 10%），则认为该年度有显著下降。</w:t>
      </w:r>
    </w:p>
    <w:p w14:paraId="4557D6F5">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异常判定：若一个项目在任意一个“三年窗口”上，参与度与活跃度都满足连续两次（即两年间隔）的≥10%降幅，则认定该项目出现了异常。若该项目完全没有这样的“三连降”时段，则正常，无需预警。 </w:t>
      </w:r>
    </w:p>
    <w:p w14:paraId="25FC61AC">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危机指数：在检测到符合条件的“三年窗口”后，可额外定义一个“危机指数”来衡量严重程度。使用第 1 年的数值减去第 3 年的数值（若结果为负则置 0），并分别对“参与度”与“活跃度”累加，得到一个简单的“总降幅”。数值越大，说明从第一年至第三年的下跌越明显，危机越大。</w:t>
      </w:r>
    </w:p>
    <w:p w14:paraId="3346DF95">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r>
        <w:rPr>
          <w:rFonts w:hint="eastAsia" w:ascii="Times New Roman" w:hAnsi="微软雅黑" w:eastAsia="宋体" w:cs="微软雅黑"/>
          <w:i w:val="0"/>
          <w:iCs w:val="0"/>
          <w:caps w:val="0"/>
          <w:color w:val="auto"/>
          <w:spacing w:val="0"/>
          <w:sz w:val="28"/>
          <w:szCs w:val="27"/>
          <w:shd w:val="clear" w:fill="FFFFFF"/>
        </w:rPr>
        <w:t xml:space="preserve">最后我们设置一个异常指数的阈值，展示出异常指数超过阈值的项目。 </w:t>
      </w:r>
    </w:p>
    <w:p w14:paraId="7B5615B2">
      <w:pPr>
        <w:numPr>
          <w:ilvl w:val="0"/>
          <w:numId w:val="1"/>
        </w:numPr>
        <w:snapToGrid/>
        <w:spacing w:before="312" w:beforeLines="100" w:beforeAutospacing="0" w:after="156" w:afterLines="50" w:afterAutospacing="0" w:line="360" w:lineRule="auto"/>
        <w:ind w:left="0" w:leftChars="0" w:right="0" w:rightChars="0" w:firstLine="0" w:firstLineChars="0"/>
        <w:jc w:val="left"/>
        <w:outlineLvl w:val="0"/>
        <w:rPr>
          <w:rFonts w:hint="eastAsia" w:ascii="Times New Roman" w:hAnsi="微软雅黑" w:eastAsia="宋体" w:cs="微软雅黑"/>
          <w:b/>
          <w:i w:val="0"/>
          <w:iCs w:val="0"/>
          <w:caps w:val="0"/>
          <w:color w:val="auto"/>
          <w:spacing w:val="0"/>
          <w:sz w:val="32"/>
          <w:szCs w:val="27"/>
          <w:shd w:val="clear" w:fill="FFFFFF"/>
        </w:rPr>
      </w:pPr>
      <w:r>
        <w:rPr>
          <w:rFonts w:hint="eastAsia" w:ascii="Times New Roman" w:hAnsi="微软雅黑" w:eastAsia="宋体" w:cs="微软雅黑"/>
          <w:b/>
          <w:i w:val="0"/>
          <w:iCs w:val="0"/>
          <w:caps w:val="0"/>
          <w:color w:val="auto"/>
          <w:spacing w:val="0"/>
          <w:sz w:val="32"/>
          <w:szCs w:val="27"/>
          <w:shd w:val="clear" w:fill="FFFFFF"/>
        </w:rPr>
        <w:t xml:space="preserve">可视化大屏设计 </w:t>
      </w:r>
    </w:p>
    <w:p w14:paraId="21770D07">
      <w:pPr>
        <w:snapToGrid/>
        <w:spacing w:beforeAutospacing="0" w:afterAutospacing="0" w:line="360" w:lineRule="auto"/>
        <w:ind w:left="0" w:leftChars="0" w:right="0" w:rightChars="0" w:firstLine="560" w:firstLineChars="200"/>
        <w:jc w:val="left"/>
        <w:rPr>
          <w:rFonts w:hint="eastAsia" w:ascii="Times New Roman" w:eastAsia="宋体"/>
          <w:sz w:val="28"/>
          <w:lang w:val="en-US" w:eastAsia="zh-CN"/>
        </w:rPr>
      </w:pPr>
      <w:r>
        <w:rPr>
          <w:rFonts w:hint="eastAsia" w:ascii="Times New Roman" w:eastAsia="宋体"/>
          <w:sz w:val="28"/>
          <w:lang w:val="en-US" w:eastAsia="zh-CN"/>
        </w:rPr>
        <w:t>可视化大屏</w:t>
      </w:r>
    </w:p>
    <w:p w14:paraId="76B2AB60">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default" w:ascii="Times New Roman" w:eastAsia="宋体"/>
          <w:sz w:val="28"/>
          <w:lang w:val="en-US" w:eastAsia="zh-CN"/>
        </w:rPr>
        <w:t>项目活跃度的可视化：</w:t>
      </w:r>
    </w:p>
    <w:p w14:paraId="7FA0F7E5">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default" w:ascii="Times New Roman" w:eastAsia="宋体"/>
          <w:sz w:val="28"/>
          <w:lang w:val="en-US" w:eastAsia="zh-CN"/>
        </w:rPr>
        <w:t>通过柱状图展示各项目的平均活跃系数，并按照字母顺序呈现。</w:t>
      </w:r>
    </w:p>
    <w:p w14:paraId="394503FF">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default" w:ascii="Times New Roman" w:eastAsia="宋体"/>
          <w:sz w:val="28"/>
          <w:lang w:val="en-US" w:eastAsia="zh-CN"/>
        </w:rPr>
        <w:t>数据洞察：绝大部分项目的活跃系数集中在30-50之间</w:t>
      </w:r>
    </w:p>
    <w:p w14:paraId="0DE68FC9">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3460750" cy="1754505"/>
            <wp:effectExtent l="0" t="0" r="1397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3460750" cy="1754505"/>
                    </a:xfrm>
                    <a:prstGeom prst="rect">
                      <a:avLst/>
                    </a:prstGeom>
                    <a:noFill/>
                    <a:ln>
                      <a:noFill/>
                    </a:ln>
                  </pic:spPr>
                </pic:pic>
              </a:graphicData>
            </a:graphic>
          </wp:inline>
        </w:drawing>
      </w:r>
    </w:p>
    <w:p w14:paraId="71EB3F77">
      <w:pPr>
        <w:snapToGrid/>
        <w:spacing w:beforeAutospacing="0" w:afterAutospacing="0" w:line="360" w:lineRule="auto"/>
        <w:ind w:left="0" w:leftChars="0" w:right="0" w:rightChars="0" w:firstLine="560" w:firstLineChars="200"/>
        <w:jc w:val="left"/>
        <w:rPr>
          <w:rFonts w:hint="eastAsia" w:ascii="Times New Roman" w:eastAsia="宋体"/>
          <w:sz w:val="28"/>
        </w:rPr>
      </w:pPr>
      <w:r>
        <w:rPr>
          <w:rFonts w:hint="eastAsia" w:ascii="Times New Roman" w:eastAsia="宋体"/>
          <w:sz w:val="28"/>
        </w:rPr>
        <w:t>通过折线图展示平均活跃系数</w:t>
      </w:r>
      <w:r>
        <w:rPr>
          <w:rFonts w:hint="eastAsia" w:ascii="Times New Roman" w:eastAsia="宋体"/>
          <w:sz w:val="28"/>
          <w:lang w:val="en-US" w:eastAsia="zh-CN"/>
        </w:rPr>
        <w:t>排名前十的</w:t>
      </w:r>
      <w:r>
        <w:rPr>
          <w:rFonts w:hint="eastAsia" w:ascii="Times New Roman" w:eastAsia="宋体"/>
          <w:sz w:val="28"/>
        </w:rPr>
        <w:t>项目的年度活跃系数变化趋势。</w:t>
      </w:r>
    </w:p>
    <w:p w14:paraId="4AD0CD07">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eastAsia" w:ascii="Times New Roman" w:eastAsia="宋体"/>
          <w:sz w:val="28"/>
          <w:lang w:val="en-US" w:eastAsia="zh-CN"/>
        </w:rPr>
        <w:t>数据洞察：从2016年至2023年，大多数技术或服务的活跃度呈现出波动上升的趋势。某些技术或服务在某些年份的使用量出现下降，反映了市场竞争和技术迭代的复杂性。此外，不难发现2019年是多个技术或服务使用量达到或接近峰值的一年，反映了该年份在技术市场上的活跃度和竞争力。</w:t>
      </w:r>
    </w:p>
    <w:p w14:paraId="0F00335F">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4669155" cy="25146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
                    <a:stretch>
                      <a:fillRect/>
                    </a:stretch>
                  </pic:blipFill>
                  <pic:spPr>
                    <a:xfrm>
                      <a:off x="0" y="0"/>
                      <a:ext cx="4669155" cy="2514600"/>
                    </a:xfrm>
                    <a:prstGeom prst="rect">
                      <a:avLst/>
                    </a:prstGeom>
                    <a:noFill/>
                    <a:ln>
                      <a:noFill/>
                    </a:ln>
                  </pic:spPr>
                </pic:pic>
              </a:graphicData>
            </a:graphic>
          </wp:inline>
        </w:drawing>
      </w:r>
    </w:p>
    <w:p w14:paraId="3E082908">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5273040" cy="244602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2446020"/>
                    </a:xfrm>
                    <a:prstGeom prst="rect">
                      <a:avLst/>
                    </a:prstGeom>
                    <a:noFill/>
                    <a:ln>
                      <a:noFill/>
                    </a:ln>
                  </pic:spPr>
                </pic:pic>
              </a:graphicData>
            </a:graphic>
          </wp:inline>
        </w:drawing>
      </w:r>
    </w:p>
    <w:p w14:paraId="59BBB242">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eastAsia" w:ascii="Times New Roman" w:eastAsia="宋体"/>
          <w:sz w:val="28"/>
        </w:rPr>
        <w:t>通过柱状图展现从2015</w:t>
      </w:r>
      <w:r>
        <w:rPr>
          <w:rFonts w:hint="eastAsia" w:ascii="Times New Roman" w:eastAsia="宋体"/>
          <w:sz w:val="28"/>
          <w:lang w:val="en-US" w:eastAsia="zh-CN"/>
        </w:rPr>
        <w:t>年至2023年期间年</w:t>
      </w:r>
      <w:r>
        <w:rPr>
          <w:rFonts w:hint="eastAsia" w:ascii="Times New Roman" w:eastAsia="宋体"/>
          <w:sz w:val="28"/>
        </w:rPr>
        <w:t>平均参与者数量</w:t>
      </w:r>
      <w:r>
        <w:rPr>
          <w:rFonts w:hint="eastAsia" w:ascii="Times New Roman" w:eastAsia="宋体"/>
          <w:sz w:val="28"/>
          <w:lang w:val="en-US" w:eastAsia="zh-CN"/>
        </w:rPr>
        <w:t>最多的TOP10项目</w:t>
      </w:r>
    </w:p>
    <w:p w14:paraId="27BECE4C">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eastAsia" w:ascii="Times New Roman" w:eastAsia="宋体"/>
          <w:sz w:val="28"/>
          <w:lang w:val="en-US" w:eastAsia="zh-CN"/>
        </w:rPr>
        <w:t>数据洞察：在年</w:t>
      </w:r>
      <w:r>
        <w:rPr>
          <w:rFonts w:hint="eastAsia" w:ascii="Times New Roman" w:eastAsia="宋体"/>
          <w:sz w:val="28"/>
        </w:rPr>
        <w:t>平均参与者数量</w:t>
      </w:r>
      <w:r>
        <w:rPr>
          <w:rFonts w:hint="eastAsia" w:ascii="Times New Roman" w:eastAsia="宋体"/>
          <w:sz w:val="28"/>
          <w:lang w:val="en-US" w:eastAsia="zh-CN"/>
        </w:rPr>
        <w:t>最多的TOP10项目，绝大多数项目的参与者数量都是分布在1000上下，只有极个别项目参与者数量会到达1500以上。</w:t>
      </w:r>
    </w:p>
    <w:p w14:paraId="6B60200A">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5273040" cy="248856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040" cy="2488565"/>
                    </a:xfrm>
                    <a:prstGeom prst="rect">
                      <a:avLst/>
                    </a:prstGeom>
                    <a:noFill/>
                    <a:ln>
                      <a:noFill/>
                    </a:ln>
                  </pic:spPr>
                </pic:pic>
              </a:graphicData>
            </a:graphic>
          </wp:inline>
        </w:drawing>
      </w:r>
    </w:p>
    <w:p w14:paraId="5576268A">
      <w:pPr>
        <w:snapToGrid/>
        <w:spacing w:beforeAutospacing="0" w:afterAutospacing="0" w:line="360" w:lineRule="auto"/>
        <w:ind w:left="0" w:leftChars="0" w:right="0" w:rightChars="0" w:firstLine="560" w:firstLineChars="200"/>
        <w:jc w:val="left"/>
        <w:rPr>
          <w:rFonts w:ascii="Times New Roman" w:eastAsia="宋体"/>
          <w:sz w:val="28"/>
        </w:rPr>
      </w:pPr>
    </w:p>
    <w:p w14:paraId="5765F48B">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sectPr>
          <w:pgSz w:w="11906" w:h="16838"/>
          <w:pgMar w:top="1440" w:right="1800" w:bottom="1440" w:left="1800" w:header="851" w:footer="992" w:gutter="0"/>
          <w:cols w:space="0" w:num="1"/>
          <w:rtlGutter w:val="0"/>
          <w:docGrid w:type="lines" w:linePitch="312" w:charSpace="0"/>
        </w:sectPr>
      </w:pPr>
    </w:p>
    <w:p w14:paraId="3B9009B3">
      <w:pPr>
        <w:snapToGrid/>
        <w:spacing w:beforeAutospacing="0" w:afterAutospacing="0" w:line="360" w:lineRule="auto"/>
        <w:ind w:left="0" w:leftChars="0" w:right="0" w:rightChars="0" w:firstLine="560" w:firstLineChars="200"/>
        <w:jc w:val="left"/>
        <w:rPr>
          <w:rFonts w:hint="eastAsia" w:ascii="Times New Roman" w:eastAsia="宋体"/>
          <w:sz w:val="28"/>
          <w:lang w:val="en-US" w:eastAsia="zh-CN"/>
        </w:rPr>
      </w:pPr>
      <w:r>
        <w:rPr>
          <w:rFonts w:hint="eastAsia" w:ascii="Times New Roman" w:eastAsia="宋体"/>
          <w:sz w:val="28"/>
          <w:lang w:val="en-US" w:eastAsia="zh-CN"/>
        </w:rPr>
        <w:t>社区关注度可视化：</w:t>
      </w:r>
    </w:p>
    <w:p w14:paraId="47DEFD6C">
      <w:pPr>
        <w:snapToGrid/>
        <w:spacing w:beforeAutospacing="0" w:afterAutospacing="0" w:line="360" w:lineRule="auto"/>
        <w:ind w:left="0" w:leftChars="0" w:right="0" w:rightChars="0" w:firstLine="560" w:firstLineChars="200"/>
        <w:jc w:val="left"/>
        <w:rPr>
          <w:rFonts w:hint="eastAsia" w:ascii="Times New Roman" w:eastAsia="宋体"/>
          <w:sz w:val="28"/>
          <w:lang w:val="en-US" w:eastAsia="zh-CN"/>
        </w:rPr>
      </w:pPr>
      <w:r>
        <w:rPr>
          <w:rFonts w:hint="eastAsia" w:ascii="Times New Roman" w:eastAsia="宋体"/>
          <w:sz w:val="28"/>
          <w:lang w:val="en-US" w:eastAsia="zh-CN"/>
        </w:rPr>
        <w:t>通过对称条形图分别展示项目的forks数量和stars数量。该图表能够清晰展示哪些项目在社区中获得了最多的关注和支持，并分析forks和stars数量之间的相关性，从而揭示社区对项目的关注度和认可度。</w:t>
      </w:r>
    </w:p>
    <w:p w14:paraId="32958032">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5044440" cy="301752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5044440" cy="3017520"/>
                    </a:xfrm>
                    <a:prstGeom prst="rect">
                      <a:avLst/>
                    </a:prstGeom>
                    <a:noFill/>
                    <a:ln>
                      <a:noFill/>
                    </a:ln>
                  </pic:spPr>
                </pic:pic>
              </a:graphicData>
            </a:graphic>
          </wp:inline>
        </w:drawing>
      </w:r>
    </w:p>
    <w:p w14:paraId="1A3291DB">
      <w:pPr>
        <w:snapToGrid/>
        <w:spacing w:beforeAutospacing="0" w:afterAutospacing="0" w:line="360" w:lineRule="auto"/>
        <w:ind w:left="0" w:leftChars="0" w:right="0" w:rightChars="0" w:firstLine="560" w:firstLineChars="200"/>
        <w:jc w:val="left"/>
        <w:rPr>
          <w:rFonts w:hint="eastAsia" w:ascii="Times New Roman" w:eastAsia="宋体"/>
          <w:sz w:val="28"/>
          <w:lang w:val="en-US" w:eastAsia="zh-CN"/>
        </w:rPr>
      </w:pPr>
      <w:r>
        <w:rPr>
          <w:rFonts w:hint="eastAsia" w:ascii="Times New Roman" w:eastAsia="宋体"/>
          <w:sz w:val="28"/>
          <w:lang w:val="en-US" w:eastAsia="zh-CN"/>
        </w:rPr>
        <w:t>通过表格展现出年均社区关注度的TOP10项目的年度关注度变化。</w:t>
      </w:r>
    </w:p>
    <w:p w14:paraId="759536DF">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eastAsia" w:ascii="Times New Roman" w:eastAsia="宋体"/>
          <w:sz w:val="28"/>
          <w:lang w:val="en-US" w:eastAsia="zh-CN"/>
        </w:rPr>
        <w:t>数据洞察：stable - diffusion 的数据波动最为明显，从 2015 年的 12945.81254 下降到 2021 年的 1277.0，可能反映了该项目在这几年间经历了重大变化或发展方向的调整。T</w:t>
      </w:r>
      <w:r>
        <w:rPr>
          <w:rFonts w:hint="default" w:ascii="Times New Roman" w:eastAsia="宋体"/>
          <w:sz w:val="28"/>
          <w:lang w:val="en-US" w:eastAsia="zh-CN"/>
        </w:rPr>
        <w:t>ensorflow 的数据在各年份间波动相对较小，在一定范围内变化，反映出该项目可能具有较为稳定的发展态势</w:t>
      </w:r>
      <w:r>
        <w:rPr>
          <w:rFonts w:hint="eastAsia" w:ascii="Times New Roman" w:eastAsia="宋体"/>
          <w:sz w:val="28"/>
          <w:lang w:val="en-US" w:eastAsia="zh-CN"/>
        </w:rPr>
        <w:t>。其中，不乏有许多新起之秀，尽管起始时间较晚，其受社区关注度也十分的高。</w:t>
      </w:r>
    </w:p>
    <w:p w14:paraId="5CA1C42C">
      <w:pPr>
        <w:ind w:left="0" w:leftChars="0" w:right="0" w:rightChars="0" w:firstLine="0" w:firstLineChars="0"/>
        <w:jc w:val="center"/>
        <w:rPr>
          <w:rFonts w:ascii="Times New Roman" w:eastAsia="宋体"/>
          <w:sz w:val="28"/>
        </w:rPr>
        <w:sectPr>
          <w:pgSz w:w="11906" w:h="16838"/>
          <w:pgMar w:top="1440" w:right="1800" w:bottom="1440" w:left="1800" w:header="851" w:footer="992" w:gutter="0"/>
          <w:cols w:space="0" w:num="1"/>
          <w:rtlGutter w:val="0"/>
          <w:docGrid w:type="lines" w:linePitch="312" w:charSpace="0"/>
        </w:sectPr>
      </w:pPr>
      <w:r>
        <w:rPr>
          <w:rFonts w:ascii="Times New Roman" w:eastAsia="宋体"/>
          <w:sz w:val="28"/>
        </w:rPr>
        <w:drawing>
          <wp:inline distT="0" distB="0" distL="114300" distR="114300">
            <wp:extent cx="5269865" cy="2585085"/>
            <wp:effectExtent l="0" t="0" r="317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5269865" cy="2585085"/>
                    </a:xfrm>
                    <a:prstGeom prst="rect">
                      <a:avLst/>
                    </a:prstGeom>
                    <a:noFill/>
                    <a:ln>
                      <a:noFill/>
                    </a:ln>
                  </pic:spPr>
                </pic:pic>
              </a:graphicData>
            </a:graphic>
          </wp:inline>
        </w:drawing>
      </w:r>
    </w:p>
    <w:p w14:paraId="6F686F2F">
      <w:pPr>
        <w:snapToGrid/>
        <w:spacing w:beforeAutospacing="0" w:afterAutospacing="0" w:line="360" w:lineRule="auto"/>
        <w:ind w:left="0" w:leftChars="0" w:right="0" w:rightChars="0" w:firstLine="560" w:firstLineChars="200"/>
        <w:jc w:val="left"/>
        <w:rPr>
          <w:rFonts w:hint="eastAsia" w:ascii="Times New Roman" w:eastAsia="宋体"/>
          <w:sz w:val="28"/>
          <w:lang w:val="en-US" w:eastAsia="zh-CN"/>
        </w:rPr>
      </w:pPr>
      <w:r>
        <w:rPr>
          <w:rFonts w:hint="eastAsia" w:ascii="Times New Roman" w:eastAsia="宋体"/>
          <w:sz w:val="28"/>
          <w:lang w:val="en-US" w:eastAsia="zh-CN"/>
        </w:rPr>
        <w:t>开发效率可视化：</w:t>
      </w:r>
    </w:p>
    <w:p w14:paraId="09334C42">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eastAsia" w:ascii="Times New Roman" w:eastAsia="宋体"/>
          <w:sz w:val="28"/>
          <w:lang w:val="en-US" w:eastAsia="zh-CN"/>
        </w:rPr>
        <w:t>通过柱状图展示年均开发效率的TOP10项目。</w:t>
      </w:r>
    </w:p>
    <w:p w14:paraId="21F35A3B">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5269230" cy="2696210"/>
            <wp:effectExtent l="0" t="0" r="3810" b="127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5269230" cy="2696210"/>
                    </a:xfrm>
                    <a:prstGeom prst="rect">
                      <a:avLst/>
                    </a:prstGeom>
                    <a:noFill/>
                    <a:ln>
                      <a:noFill/>
                    </a:ln>
                  </pic:spPr>
                </pic:pic>
              </a:graphicData>
            </a:graphic>
          </wp:inline>
        </w:drawing>
      </w:r>
    </w:p>
    <w:p w14:paraId="1DDE4906">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eastAsia" w:ascii="Times New Roman" w:eastAsia="宋体"/>
          <w:sz w:val="28"/>
          <w:lang w:val="en-US" w:eastAsia="zh-CN"/>
        </w:rPr>
        <w:t>通过折线图展示出年均开发效率TOP10项目的年度开发效率变化趋势。折线图展现了这些高效项目在不同年度的开发效率变化，帮助我们理解哪些项目在某些年份表现更突出，哪些则有所下降，进而反映出项目管理、团队协作及技术进步等因素的影响，同时为项目团队提供参考。</w:t>
      </w:r>
    </w:p>
    <w:p w14:paraId="0A545BDE">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5267325" cy="2783205"/>
            <wp:effectExtent l="0" t="0" r="5715" b="57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1"/>
                    <a:stretch>
                      <a:fillRect/>
                    </a:stretch>
                  </pic:blipFill>
                  <pic:spPr>
                    <a:xfrm>
                      <a:off x="0" y="0"/>
                      <a:ext cx="5267325" cy="2783205"/>
                    </a:xfrm>
                    <a:prstGeom prst="rect">
                      <a:avLst/>
                    </a:prstGeom>
                    <a:noFill/>
                    <a:ln>
                      <a:noFill/>
                    </a:ln>
                  </pic:spPr>
                </pic:pic>
              </a:graphicData>
            </a:graphic>
          </wp:inline>
        </w:drawing>
      </w:r>
    </w:p>
    <w:p w14:paraId="498E8A4B">
      <w:pPr>
        <w:snapToGrid/>
        <w:spacing w:beforeAutospacing="0" w:afterAutospacing="0" w:line="360" w:lineRule="auto"/>
        <w:ind w:left="0" w:leftChars="0" w:right="0" w:rightChars="0" w:firstLine="560" w:firstLineChars="200"/>
        <w:jc w:val="left"/>
        <w:rPr>
          <w:rFonts w:ascii="Times New Roman" w:eastAsia="宋体"/>
          <w:sz w:val="28"/>
        </w:rPr>
        <w:sectPr>
          <w:pgSz w:w="11906" w:h="16838"/>
          <w:pgMar w:top="1440" w:right="1800" w:bottom="1440" w:left="1800" w:header="851" w:footer="992" w:gutter="0"/>
          <w:cols w:space="0" w:num="1"/>
          <w:rtlGutter w:val="0"/>
          <w:docGrid w:type="lines" w:linePitch="312" w:charSpace="0"/>
        </w:sectPr>
      </w:pPr>
    </w:p>
    <w:p w14:paraId="0F0E2874">
      <w:pPr>
        <w:snapToGrid/>
        <w:spacing w:beforeAutospacing="0" w:afterAutospacing="0" w:line="360" w:lineRule="auto"/>
        <w:ind w:left="0" w:leftChars="0" w:right="0" w:rightChars="0" w:firstLine="560" w:firstLineChars="200"/>
        <w:jc w:val="left"/>
        <w:rPr>
          <w:rFonts w:hint="eastAsia" w:ascii="Times New Roman" w:eastAsia="宋体"/>
          <w:sz w:val="28"/>
          <w:lang w:val="en-US" w:eastAsia="zh-CN"/>
        </w:rPr>
      </w:pPr>
      <w:r>
        <w:rPr>
          <w:rFonts w:hint="eastAsia" w:ascii="Times New Roman" w:eastAsia="宋体"/>
          <w:sz w:val="28"/>
          <w:lang w:val="en-US" w:eastAsia="zh-CN"/>
        </w:rPr>
        <w:t>问题解决能力可视化：</w:t>
      </w:r>
    </w:p>
    <w:p w14:paraId="15A48628">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eastAsia" w:ascii="Times New Roman" w:eastAsia="宋体"/>
          <w:sz w:val="28"/>
          <w:lang w:val="en-US" w:eastAsia="zh-CN"/>
        </w:rPr>
        <w:t>通过柱状图展示出问题解决能力TOP10的项目。此图能够直观展示哪些项目在处理问题和解决用户反馈方面最为高效，从而为项目优化和用户体验改进提供参考。</w:t>
      </w:r>
    </w:p>
    <w:p w14:paraId="423883B6">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5270500" cy="2755265"/>
            <wp:effectExtent l="0" t="0" r="2540" b="317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2"/>
                    <a:stretch>
                      <a:fillRect/>
                    </a:stretch>
                  </pic:blipFill>
                  <pic:spPr>
                    <a:xfrm>
                      <a:off x="0" y="0"/>
                      <a:ext cx="5270500" cy="2755265"/>
                    </a:xfrm>
                    <a:prstGeom prst="rect">
                      <a:avLst/>
                    </a:prstGeom>
                    <a:noFill/>
                    <a:ln>
                      <a:noFill/>
                    </a:ln>
                  </pic:spPr>
                </pic:pic>
              </a:graphicData>
            </a:graphic>
          </wp:inline>
        </w:drawing>
      </w:r>
    </w:p>
    <w:p w14:paraId="1CC09A55">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eastAsia" w:ascii="Times New Roman" w:eastAsia="宋体"/>
          <w:sz w:val="28"/>
          <w:lang w:val="en-US" w:eastAsia="zh-CN"/>
        </w:rPr>
        <w:t>通过柱状图展示各项目的问题解决能力。通过该柱状图，可以比较不同项目在问题解决上的能力差异，帮助识别哪些项目需要在问题反馈和处理上做出改进。</w:t>
      </w:r>
    </w:p>
    <w:p w14:paraId="5E0B7DA1">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5273675" cy="2647950"/>
            <wp:effectExtent l="0" t="0" r="14605" b="381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3"/>
                    <a:stretch>
                      <a:fillRect/>
                    </a:stretch>
                  </pic:blipFill>
                  <pic:spPr>
                    <a:xfrm>
                      <a:off x="0" y="0"/>
                      <a:ext cx="5273675" cy="2647950"/>
                    </a:xfrm>
                    <a:prstGeom prst="rect">
                      <a:avLst/>
                    </a:prstGeom>
                    <a:noFill/>
                    <a:ln>
                      <a:noFill/>
                    </a:ln>
                  </pic:spPr>
                </pic:pic>
              </a:graphicData>
            </a:graphic>
          </wp:inline>
        </w:drawing>
      </w:r>
    </w:p>
    <w:p w14:paraId="3AA28D47">
      <w:pPr>
        <w:snapToGrid/>
        <w:spacing w:beforeAutospacing="0" w:afterAutospacing="0" w:line="360" w:lineRule="auto"/>
        <w:ind w:left="0" w:leftChars="0" w:right="0" w:rightChars="0" w:firstLine="560" w:firstLineChars="200"/>
        <w:jc w:val="left"/>
        <w:rPr>
          <w:rFonts w:ascii="Times New Roman" w:eastAsia="宋体"/>
          <w:sz w:val="28"/>
        </w:rPr>
        <w:sectPr>
          <w:pgSz w:w="11906" w:h="16838"/>
          <w:pgMar w:top="1440" w:right="1800" w:bottom="1440" w:left="1800" w:header="851" w:footer="992" w:gutter="0"/>
          <w:cols w:space="0" w:num="1"/>
          <w:rtlGutter w:val="0"/>
          <w:docGrid w:type="lines" w:linePitch="312" w:charSpace="0"/>
        </w:sectPr>
      </w:pPr>
    </w:p>
    <w:p w14:paraId="6E41A168">
      <w:pPr>
        <w:snapToGrid/>
        <w:spacing w:beforeAutospacing="0" w:afterAutospacing="0" w:line="360" w:lineRule="auto"/>
        <w:ind w:left="0" w:leftChars="0" w:right="0" w:rightChars="0" w:firstLine="560" w:firstLineChars="200"/>
        <w:jc w:val="left"/>
        <w:rPr>
          <w:rFonts w:hint="eastAsia" w:ascii="Times New Roman" w:eastAsia="宋体"/>
          <w:sz w:val="28"/>
          <w:lang w:val="en-US" w:eastAsia="zh-CN"/>
        </w:rPr>
      </w:pPr>
      <w:r>
        <w:rPr>
          <w:rFonts w:hint="eastAsia" w:ascii="Times New Roman" w:eastAsia="宋体"/>
          <w:sz w:val="28"/>
          <w:lang w:val="en-US" w:eastAsia="zh-CN"/>
        </w:rPr>
        <w:t>项目健康度：</w:t>
      </w:r>
    </w:p>
    <w:p w14:paraId="6B0DE671">
      <w:pPr>
        <w:snapToGrid/>
        <w:spacing w:beforeAutospacing="0" w:afterAutospacing="0" w:line="360" w:lineRule="auto"/>
        <w:ind w:left="0" w:leftChars="0" w:right="0" w:rightChars="0" w:firstLine="560" w:firstLineChars="200"/>
        <w:jc w:val="left"/>
        <w:rPr>
          <w:rFonts w:hint="eastAsia" w:ascii="Times New Roman" w:eastAsia="宋体"/>
          <w:sz w:val="28"/>
          <w:lang w:val="en-US" w:eastAsia="zh-CN"/>
        </w:rPr>
      </w:pPr>
      <w:r>
        <w:rPr>
          <w:rFonts w:hint="eastAsia" w:ascii="Times New Roman" w:eastAsia="宋体"/>
          <w:sz w:val="28"/>
          <w:lang w:val="en-US" w:eastAsia="zh-CN"/>
        </w:rPr>
        <w:t>利用散点图展示各个项目的健康分数分布情况，并利用环形图展示出健康分数集中的分布区域。散点图能够有效展示项目健康分数的整体分布情况，而环形图则提供了更细化的视角，帮助我们识别出健康分数集中区域和潜在的风险项目。</w:t>
      </w:r>
    </w:p>
    <w:p w14:paraId="57151E6D">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r>
        <w:rPr>
          <w:rFonts w:hint="eastAsia" w:ascii="Times New Roman" w:eastAsia="宋体"/>
          <w:sz w:val="28"/>
          <w:lang w:val="en-US" w:eastAsia="zh-CN"/>
        </w:rPr>
        <w:t>通过明细表展示出处于异常健康状态的项目，并在旁边统计异常项目总数。该明细表将列出健康状态异常的项目，并提供其相关的详细信息，进一步帮助项目管理人员及时发现并解决项目健康状况的潜在问题。</w:t>
      </w:r>
    </w:p>
    <w:p w14:paraId="17B8B48A">
      <w:pPr>
        <w:ind w:left="0" w:leftChars="0" w:right="0" w:rightChars="0" w:firstLine="0" w:firstLineChars="0"/>
        <w:jc w:val="center"/>
        <w:rPr>
          <w:rFonts w:ascii="Times New Roman" w:eastAsia="宋体"/>
          <w:sz w:val="28"/>
        </w:rPr>
      </w:pPr>
      <w:r>
        <w:rPr>
          <w:rFonts w:ascii="Times New Roman" w:eastAsia="宋体"/>
          <w:sz w:val="28"/>
        </w:rPr>
        <w:drawing>
          <wp:inline distT="0" distB="0" distL="114300" distR="114300">
            <wp:extent cx="5269230" cy="3251835"/>
            <wp:effectExtent l="0" t="0" r="381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4"/>
                    <a:stretch>
                      <a:fillRect/>
                    </a:stretch>
                  </pic:blipFill>
                  <pic:spPr>
                    <a:xfrm>
                      <a:off x="0" y="0"/>
                      <a:ext cx="5269230" cy="3251835"/>
                    </a:xfrm>
                    <a:prstGeom prst="rect">
                      <a:avLst/>
                    </a:prstGeom>
                    <a:noFill/>
                    <a:ln>
                      <a:noFill/>
                    </a:ln>
                  </pic:spPr>
                </pic:pic>
              </a:graphicData>
            </a:graphic>
          </wp:inline>
        </w:drawing>
      </w:r>
    </w:p>
    <w:p w14:paraId="4F0DF538">
      <w:pPr>
        <w:snapToGrid/>
        <w:spacing w:beforeAutospacing="0" w:afterAutospacing="0" w:line="360" w:lineRule="auto"/>
        <w:ind w:left="0" w:leftChars="0" w:right="0" w:rightChars="0" w:firstLine="560" w:firstLineChars="200"/>
        <w:jc w:val="left"/>
        <w:rPr>
          <w:rFonts w:hint="default" w:ascii="Times New Roman" w:eastAsia="宋体"/>
          <w:sz w:val="28"/>
          <w:lang w:val="en-US" w:eastAsia="zh-CN"/>
        </w:rPr>
      </w:pPr>
    </w:p>
    <w:p w14:paraId="6174A8CF">
      <w:pPr>
        <w:numPr>
          <w:ilvl w:val="0"/>
          <w:numId w:val="0"/>
        </w:numPr>
        <w:snapToGrid/>
        <w:spacing w:beforeAutospacing="0" w:afterAutospacing="0" w:line="360" w:lineRule="auto"/>
        <w:ind w:left="0" w:leftChars="0" w:right="0" w:rightChars="0" w:firstLine="560" w:firstLineChars="200"/>
        <w:jc w:val="left"/>
        <w:rPr>
          <w:rFonts w:hint="eastAsia" w:ascii="Times New Roman" w:hAnsi="微软雅黑" w:eastAsia="宋体" w:cs="微软雅黑"/>
          <w:i w:val="0"/>
          <w:iCs w:val="0"/>
          <w:caps w:val="0"/>
          <w:color w:val="auto"/>
          <w:spacing w:val="0"/>
          <w:sz w:val="28"/>
          <w:szCs w:val="27"/>
          <w:shd w:val="clear" w:fill="FFFFFF"/>
        </w:rPr>
      </w:pPr>
    </w:p>
    <w:p w14:paraId="2DB10302">
      <w:pPr>
        <w:numPr>
          <w:ilvl w:val="0"/>
          <w:numId w:val="1"/>
        </w:numPr>
        <w:snapToGrid/>
        <w:spacing w:before="312" w:beforeLines="100" w:beforeAutospacing="0" w:after="156" w:afterLines="50" w:afterAutospacing="0" w:line="360" w:lineRule="auto"/>
        <w:ind w:left="0" w:leftChars="0" w:right="0" w:rightChars="0" w:firstLine="0" w:firstLineChars="0"/>
        <w:jc w:val="left"/>
        <w:outlineLvl w:val="0"/>
        <w:rPr>
          <w:rFonts w:hint="eastAsia" w:ascii="Times New Roman" w:hAnsi="微软雅黑" w:eastAsia="宋体" w:cs="微软雅黑"/>
          <w:b/>
          <w:i w:val="0"/>
          <w:iCs w:val="0"/>
          <w:caps w:val="0"/>
          <w:color w:val="auto"/>
          <w:spacing w:val="0"/>
          <w:sz w:val="32"/>
          <w:szCs w:val="27"/>
          <w:shd w:val="clear" w:fill="FFFFFF"/>
        </w:rPr>
      </w:pPr>
      <w:r>
        <w:rPr>
          <w:rFonts w:hint="eastAsia" w:ascii="Times New Roman" w:hAnsi="微软雅黑" w:eastAsia="宋体" w:cs="微软雅黑"/>
          <w:b/>
          <w:i w:val="0"/>
          <w:iCs w:val="0"/>
          <w:caps w:val="0"/>
          <w:color w:val="auto"/>
          <w:spacing w:val="0"/>
          <w:sz w:val="32"/>
          <w:szCs w:val="27"/>
          <w:shd w:val="clear" w:fill="FFFFFF"/>
        </w:rPr>
        <w:t xml:space="preserve">创新点 </w:t>
      </w:r>
    </w:p>
    <w:p w14:paraId="62D39868">
      <w:pPr>
        <w:numPr>
          <w:ilvl w:val="0"/>
          <w:numId w:val="9"/>
        </w:numPr>
        <w:snapToGrid/>
        <w:spacing w:beforeAutospacing="0" w:afterAutospacing="0" w:line="360" w:lineRule="auto"/>
        <w:ind w:left="0" w:leftChars="0" w:right="0" w:rightChars="0" w:firstLine="540" w:firstLineChars="200"/>
        <w:jc w:val="left"/>
        <w:rPr>
          <w:rFonts w:hint="eastAsia" w:ascii="Times New Roman" w:hAnsi="微软雅黑" w:eastAsia="宋体" w:cs="微软雅黑"/>
          <w:color w:val="auto"/>
          <w:sz w:val="28"/>
        </w:rPr>
      </w:pPr>
      <w:r>
        <w:rPr>
          <w:rFonts w:ascii="Segoe UI" w:hAnsi="Segoe UI" w:eastAsia="Segoe UI" w:cs="Segoe UI"/>
          <w:i w:val="0"/>
          <w:iCs w:val="0"/>
          <w:caps w:val="0"/>
          <w:color w:val="1F2329"/>
          <w:spacing w:val="0"/>
          <w:sz w:val="27"/>
          <w:szCs w:val="27"/>
          <w:shd w:val="clear" w:fill="FFFFFF"/>
        </w:rPr>
        <w:t>多维度评估体系创新：摒弃传统仅依靠星标数或 Fork 数的单一</w:t>
      </w:r>
      <w:r>
        <w:rPr>
          <w:rFonts w:hint="eastAsia" w:ascii="Segoe UI" w:hAnsi="Segoe UI" w:eastAsia="宋体" w:cs="Segoe UI"/>
          <w:i w:val="0"/>
          <w:iCs w:val="0"/>
          <w:caps w:val="0"/>
          <w:color w:val="1F2329"/>
          <w:spacing w:val="0"/>
          <w:sz w:val="27"/>
          <w:szCs w:val="27"/>
          <w:shd w:val="clear" w:fill="FFFFFF"/>
          <w:lang w:val="en-US" w:eastAsia="zh-CN"/>
        </w:rPr>
        <w:t xml:space="preserve"> </w:t>
      </w:r>
    </w:p>
    <w:p w14:paraId="6FCC5B8F">
      <w:pPr>
        <w:numPr>
          <w:numId w:val="0"/>
        </w:numPr>
        <w:snapToGrid/>
        <w:spacing w:beforeAutospacing="0" w:afterAutospacing="0" w:line="360" w:lineRule="auto"/>
        <w:ind w:leftChars="200" w:right="0" w:rightChars="0"/>
        <w:jc w:val="left"/>
        <w:rPr>
          <w:rFonts w:hint="eastAsia" w:ascii="Times New Roman" w:hAnsi="微软雅黑" w:eastAsia="宋体" w:cs="微软雅黑"/>
          <w:color w:val="auto"/>
          <w:sz w:val="28"/>
        </w:rPr>
      </w:pPr>
      <w:r>
        <w:rPr>
          <w:rFonts w:ascii="Segoe UI" w:hAnsi="Segoe UI" w:eastAsia="Segoe UI" w:cs="Segoe UI"/>
          <w:i w:val="0"/>
          <w:iCs w:val="0"/>
          <w:caps w:val="0"/>
          <w:color w:val="1F2329"/>
          <w:spacing w:val="0"/>
          <w:sz w:val="27"/>
          <w:szCs w:val="27"/>
          <w:shd w:val="clear" w:fill="FFFFFF"/>
        </w:rPr>
        <w:t xml:space="preserve">评估模式，深度融合代码质量、社区活跃度、维护频率、用户参与度等多个维度，并依托专业的 Opendigger 指标体系进行综合考量。这一全面的评估方式打破了传统评估的片面性，能够从各个关键层面精准地衡量项目健康度，为项目评价提供了更客观、全面的视角，有效避免了因指标单一而导致的评估偏差。 </w:t>
      </w:r>
    </w:p>
    <w:p w14:paraId="4F620410">
      <w:pPr>
        <w:numPr>
          <w:ilvl w:val="0"/>
          <w:numId w:val="9"/>
        </w:numPr>
        <w:snapToGrid/>
        <w:spacing w:beforeAutospacing="0" w:afterAutospacing="0" w:line="360" w:lineRule="auto"/>
        <w:ind w:left="0" w:leftChars="0" w:right="0" w:rightChars="0" w:firstLine="540" w:firstLineChars="200"/>
        <w:jc w:val="left"/>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指标科学性强化创新：充分利用 Opendigger 经过广泛实践验</w:t>
      </w:r>
    </w:p>
    <w:p w14:paraId="4AAE19D1">
      <w:pPr>
        <w:numPr>
          <w:numId w:val="0"/>
        </w:numPr>
        <w:snapToGrid/>
        <w:spacing w:beforeAutospacing="0" w:afterAutospacing="0" w:line="360" w:lineRule="auto"/>
        <w:ind w:leftChars="200" w:right="0" w:rightChars="0"/>
        <w:jc w:val="left"/>
        <w:rPr>
          <w:rFonts w:ascii="Segoe UI" w:hAnsi="Segoe UI" w:eastAsia="Segoe UI" w:cs="Segoe UI"/>
          <w:i w:val="0"/>
          <w:iCs w:val="0"/>
          <w:caps w:val="0"/>
          <w:color w:val="1F2329"/>
          <w:spacing w:val="0"/>
          <w:sz w:val="27"/>
          <w:szCs w:val="27"/>
          <w:shd w:val="clear" w:fill="FFFFFF"/>
        </w:rPr>
      </w:pPr>
      <w:r>
        <w:rPr>
          <w:rFonts w:hint="eastAsia" w:ascii="Segoe UI" w:hAnsi="Segoe UI" w:eastAsia="宋体" w:cs="Segoe UI"/>
          <w:i w:val="0"/>
          <w:iCs w:val="0"/>
          <w:caps w:val="0"/>
          <w:color w:val="1F2329"/>
          <w:spacing w:val="0"/>
          <w:sz w:val="27"/>
          <w:szCs w:val="27"/>
          <w:shd w:val="clear" w:fill="FFFFFF"/>
          <w:lang w:val="en-US" w:eastAsia="zh-CN"/>
        </w:rPr>
        <w:t xml:space="preserve"> </w:t>
      </w:r>
      <w:r>
        <w:rPr>
          <w:rFonts w:ascii="Segoe UI" w:hAnsi="Segoe UI" w:eastAsia="Segoe UI" w:cs="Segoe UI"/>
          <w:i w:val="0"/>
          <w:iCs w:val="0"/>
          <w:caps w:val="0"/>
          <w:color w:val="1F2329"/>
          <w:spacing w:val="0"/>
          <w:sz w:val="27"/>
          <w:szCs w:val="27"/>
          <w:shd w:val="clear" w:fill="FFFFFF"/>
        </w:rPr>
        <w:t xml:space="preserve">证的指标数据，并在此基础上进行细致的二次整合。通过对原始数据的深入挖掘和优化处理，确保了数据来源的专业性和可靠性，使得评估结果更能真实反映项目的核心健康状况，为项目决策提供坚实的数据支撑，增强了评估体系的可信度和权威性。 </w:t>
      </w:r>
    </w:p>
    <w:p w14:paraId="1B57E210">
      <w:pPr>
        <w:numPr>
          <w:ilvl w:val="0"/>
          <w:numId w:val="9"/>
        </w:numPr>
        <w:snapToGrid/>
        <w:spacing w:beforeAutospacing="0" w:afterAutospacing="0" w:line="360" w:lineRule="auto"/>
        <w:ind w:left="0" w:leftChars="0" w:right="0" w:rightChars="0" w:firstLine="540" w:firstLineChars="200"/>
        <w:jc w:val="left"/>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可视化与分析功能创新：借助直观的大屏仪表盘和灵活的可交互</w:t>
      </w:r>
    </w:p>
    <w:p w14:paraId="2F7086C4">
      <w:pPr>
        <w:numPr>
          <w:numId w:val="0"/>
        </w:numPr>
        <w:snapToGrid/>
        <w:spacing w:beforeAutospacing="0" w:afterAutospacing="0" w:line="360" w:lineRule="auto"/>
        <w:ind w:leftChars="200" w:right="0" w:rightChars="0"/>
        <w:jc w:val="left"/>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图表，打造了全新的可视化展示平台。用户不仅能够迅速获取各个项目的健康度概况，还能在需要时便捷地进行深度对比分析。这种创新的展示方式极大地提高了数据获取效率，帮助用户快速洞察项目间的差异和优势，从而显著提升决策效率，使项目评估过程更加高效、便捷。 </w:t>
      </w:r>
    </w:p>
    <w:p w14:paraId="6660022B">
      <w:pPr>
        <w:numPr>
          <w:ilvl w:val="0"/>
          <w:numId w:val="9"/>
        </w:numPr>
        <w:snapToGrid/>
        <w:spacing w:beforeAutospacing="0" w:afterAutospacing="0" w:line="360" w:lineRule="auto"/>
        <w:ind w:left="0" w:leftChars="0" w:right="0" w:rightChars="0" w:firstLine="540" w:firstLineChars="200"/>
        <w:jc w:val="left"/>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评分算法灵活拓展创新：采用先进的加权评分算法，可根据不同</w:t>
      </w:r>
    </w:p>
    <w:p w14:paraId="62D19E87">
      <w:pPr>
        <w:numPr>
          <w:numId w:val="0"/>
        </w:numPr>
        <w:snapToGrid/>
        <w:spacing w:beforeAutospacing="0" w:afterAutospacing="0" w:line="360" w:lineRule="auto"/>
        <w:ind w:leftChars="200" w:right="0" w:rightChars="0"/>
        <w:jc w:val="left"/>
        <w:rPr>
          <w:rFonts w:ascii="Segoe UI" w:hAnsi="Segoe UI" w:eastAsia="Segoe UI" w:cs="Segoe UI"/>
          <w:i w:val="0"/>
          <w:iCs w:val="0"/>
          <w:caps w:val="0"/>
          <w:color w:val="1F2329"/>
          <w:spacing w:val="0"/>
          <w:sz w:val="27"/>
          <w:szCs w:val="27"/>
          <w:shd w:val="clear" w:fill="FFFFFF"/>
        </w:rPr>
      </w:pPr>
      <w:bookmarkStart w:id="1" w:name="_GoBack"/>
      <w:bookmarkEnd w:id="1"/>
      <w:r>
        <w:rPr>
          <w:rFonts w:ascii="Segoe UI" w:hAnsi="Segoe UI" w:eastAsia="Segoe UI" w:cs="Segoe UI"/>
          <w:i w:val="0"/>
          <w:iCs w:val="0"/>
          <w:caps w:val="0"/>
          <w:color w:val="1F2329"/>
          <w:spacing w:val="0"/>
          <w:sz w:val="27"/>
          <w:szCs w:val="27"/>
          <w:shd w:val="clear" w:fill="FFFFFF"/>
        </w:rPr>
        <w:t xml:space="preserve">的应用场景和用户需求，自由地自定义指标权重和组合方式。同时，具备良好的扩展性，能够轻松引入如异常检测等更多维度的指标，进一步提升评估体系的精准度和适应性。这种灵活性使得评估体系能够更好地满足多样化的评估需求，适应不断变化的项目环境。 </w:t>
      </w:r>
    </w:p>
    <w:p w14:paraId="61597FAE">
      <w:pPr>
        <w:numPr>
          <w:numId w:val="0"/>
        </w:numPr>
        <w:snapToGrid/>
        <w:spacing w:beforeAutospacing="0" w:afterAutospacing="0" w:line="360" w:lineRule="auto"/>
        <w:ind w:leftChars="200" w:right="0" w:rightChars="0"/>
        <w:jc w:val="left"/>
        <w:rPr>
          <w:rFonts w:hint="eastAsia" w:ascii="Times New Roman" w:hAnsi="微软雅黑" w:eastAsia="宋体" w:cs="微软雅黑"/>
          <w:color w:val="auto"/>
          <w:sz w:val="28"/>
        </w:rPr>
      </w:pPr>
      <w:r>
        <w:rPr>
          <w:rFonts w:ascii="Segoe UI" w:hAnsi="Segoe UI" w:eastAsia="Segoe UI" w:cs="Segoe UI"/>
          <w:i w:val="0"/>
          <w:iCs w:val="0"/>
          <w:caps w:val="0"/>
          <w:color w:val="1F2329"/>
          <w:spacing w:val="0"/>
          <w:sz w:val="27"/>
          <w:szCs w:val="27"/>
          <w:shd w:val="clear" w:fill="FFFFFF"/>
        </w:rPr>
        <w:t>5. 健康分数计算方法创新：在健康分数计算上，摒弃传统的算术平均法，采用独特的几何平均与线性缩放相结合的方式。几何平均对指标分数的变化具有高度敏感性，只要四个指标中的任意一个处于较低水平，整体健康分数就会被显著拉低，有效避免了个别指标不佳却被平均掩盖的问题。在此基础上进行线性缩放，将分数合理分布在 30 - 90 的区间内，进一步增强了分数的区分度和可读性，为项目健康度评估提供了更精确、更具区分性的结果，有力地辅助开发者和企业做出更科学、合理的决策，在项目健康度评估领域开辟了新的思路和方法。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C84630"/>
    <w:multiLevelType w:val="singleLevel"/>
    <w:tmpl w:val="AEC84630"/>
    <w:lvl w:ilvl="0" w:tentative="0">
      <w:start w:val="1"/>
      <w:numFmt w:val="decimal"/>
      <w:suff w:val="space"/>
      <w:lvlText w:val="%1."/>
      <w:lvlJc w:val="left"/>
    </w:lvl>
  </w:abstractNum>
  <w:abstractNum w:abstractNumId="1">
    <w:nsid w:val="C542738C"/>
    <w:multiLevelType w:val="singleLevel"/>
    <w:tmpl w:val="C542738C"/>
    <w:lvl w:ilvl="0" w:tentative="0">
      <w:start w:val="1"/>
      <w:numFmt w:val="decimal"/>
      <w:suff w:val="space"/>
      <w:lvlText w:val="%1."/>
      <w:lvlJc w:val="left"/>
    </w:lvl>
  </w:abstractNum>
  <w:abstractNum w:abstractNumId="2">
    <w:nsid w:val="D43A471B"/>
    <w:multiLevelType w:val="singleLevel"/>
    <w:tmpl w:val="D43A471B"/>
    <w:lvl w:ilvl="0" w:tentative="0">
      <w:start w:val="1"/>
      <w:numFmt w:val="chineseCounting"/>
      <w:suff w:val="nothing"/>
      <w:lvlText w:val="%1、"/>
      <w:lvlJc w:val="left"/>
      <w:pPr>
        <w:ind w:left="135" w:leftChars="0" w:firstLine="0" w:firstLineChars="0"/>
      </w:pPr>
      <w:rPr>
        <w:rFonts w:hint="eastAsia"/>
      </w:rPr>
    </w:lvl>
  </w:abstractNum>
  <w:abstractNum w:abstractNumId="3">
    <w:nsid w:val="0845D76B"/>
    <w:multiLevelType w:val="singleLevel"/>
    <w:tmpl w:val="0845D76B"/>
    <w:lvl w:ilvl="0" w:tentative="0">
      <w:start w:val="1"/>
      <w:numFmt w:val="decimal"/>
      <w:suff w:val="space"/>
      <w:lvlText w:val="%1."/>
      <w:lvlJc w:val="left"/>
    </w:lvl>
  </w:abstractNum>
  <w:abstractNum w:abstractNumId="4">
    <w:nsid w:val="1ECC9BFB"/>
    <w:multiLevelType w:val="singleLevel"/>
    <w:tmpl w:val="1ECC9BFB"/>
    <w:lvl w:ilvl="0" w:tentative="0">
      <w:start w:val="1"/>
      <w:numFmt w:val="chineseCounting"/>
      <w:suff w:val="nothing"/>
      <w:lvlText w:val="（%1）"/>
      <w:lvlJc w:val="left"/>
      <w:rPr>
        <w:rFonts w:hint="eastAsia"/>
      </w:rPr>
    </w:lvl>
  </w:abstractNum>
  <w:abstractNum w:abstractNumId="5">
    <w:nsid w:val="27D2A8A5"/>
    <w:multiLevelType w:val="singleLevel"/>
    <w:tmpl w:val="27D2A8A5"/>
    <w:lvl w:ilvl="0" w:tentative="0">
      <w:start w:val="1"/>
      <w:numFmt w:val="decimal"/>
      <w:suff w:val="space"/>
      <w:lvlText w:val="%1."/>
      <w:lvlJc w:val="left"/>
    </w:lvl>
  </w:abstractNum>
  <w:abstractNum w:abstractNumId="6">
    <w:nsid w:val="2E6280A9"/>
    <w:multiLevelType w:val="singleLevel"/>
    <w:tmpl w:val="2E6280A9"/>
    <w:lvl w:ilvl="0" w:tentative="0">
      <w:start w:val="1"/>
      <w:numFmt w:val="decimal"/>
      <w:suff w:val="space"/>
      <w:lvlText w:val="%1."/>
      <w:lvlJc w:val="left"/>
    </w:lvl>
  </w:abstractNum>
  <w:abstractNum w:abstractNumId="7">
    <w:nsid w:val="6B3E8356"/>
    <w:multiLevelType w:val="singleLevel"/>
    <w:tmpl w:val="6B3E8356"/>
    <w:lvl w:ilvl="0" w:tentative="0">
      <w:start w:val="1"/>
      <w:numFmt w:val="decimal"/>
      <w:suff w:val="space"/>
      <w:lvlText w:val="%1."/>
      <w:lvlJc w:val="left"/>
    </w:lvl>
  </w:abstractNum>
  <w:abstractNum w:abstractNumId="8">
    <w:nsid w:val="6FDCECBF"/>
    <w:multiLevelType w:val="singleLevel"/>
    <w:tmpl w:val="6FDCECBF"/>
    <w:lvl w:ilvl="0" w:tentative="0">
      <w:start w:val="1"/>
      <w:numFmt w:val="decimal"/>
      <w:suff w:val="space"/>
      <w:lvlText w:val="%1."/>
      <w:lvlJc w:val="left"/>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BjY2ZmYzhlMTljYmVlMGM0NTE5ZDRlMzg1ZDIyNmIifQ=="/>
  </w:docVars>
  <w:rsids>
    <w:rsidRoot w:val="00000000"/>
    <w:rsid w:val="0AA35AA7"/>
    <w:rsid w:val="0ADB3935"/>
    <w:rsid w:val="391523B2"/>
    <w:rsid w:val="41610EA8"/>
    <w:rsid w:val="51D71F66"/>
    <w:rsid w:val="68963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5160</Words>
  <Characters>6278</Characters>
  <Lines>0</Lines>
  <Paragraphs>0</Paragraphs>
  <TotalTime>29</TotalTime>
  <ScaleCrop>false</ScaleCrop>
  <LinksUpToDate>false</LinksUpToDate>
  <CharactersWithSpaces>6569</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2025-01-01T10:53:00Z</dcterms:created>
  <dc:creator>flipp</dc:creator>
  <cp:lastModifiedBy>毛姝妍</cp:lastModifiedBy>
  <dcterms:modified xsi:type="dcterms:W3CDTF">2025-01-02T03:57:17Z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B38F9AECFE5B4777B8467FCF28F05DFC_12</vt:lpwstr>
  </property>
</Properties>
</file>