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구현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제5장·부록 E의 분석 체계는 </w:t>
            </w:r>
            <w:r>
              <w:rPr>
                <w:rFonts w:ascii="맑은 고딕" w:cs="맑은 고딕" w:eastAsia="맑은 고딕" w:hAnsi="맑은 고딕"/>
                <w:b/>
                <w:bCs/>
                <w:color w:val="1A1A1A"/>
                <w:sz w:val="18"/>
                <w:szCs w:val="18"/>
              </w:rPr>
              <w:t xml:space="preserve">설명이 아니라 작동하는 소프트웨어</w:t>
            </w:r>
            <w:r>
              <w:rPr>
                <w:rFonts w:ascii="맑은 고딕" w:cs="맑은 고딕" w:eastAsia="맑은 고딕" w:hAnsi="맑은 고딕"/>
                <w:color w:val="1A1A1A"/>
                <w:sz w:val="18"/>
                <w:szCs w:val="18"/>
              </w:rPr>
              <w:t xml:space="preserve">입니다. 구현 범위·검증 상태·미구현 항목은 부록 F에 명시합니다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234"/>
        <w:gridCol w:w="625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2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62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 · 예측 검증 체계 · </w:t>
            </w:r>
            <w:r>
              <w:rPr>
                <w:rFonts w:ascii="맑은 고딕" w:cs="맑은 고딕" w:eastAsia="맑은 고딕" w:hAnsi="맑은 고딕"/>
                <w:b/>
                <w:bCs/>
                <w:color w:val="1A1A1A"/>
                <w:sz w:val="18"/>
                <w:szCs w:val="18"/>
              </w:rPr>
              <w:t xml:space="preserve">구현 현황</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6종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한 가지를 먼저 밝힙니다.</w:t>
      </w:r>
      <w:r>
        <w:rPr>
          <w:rFonts w:ascii="맑은 고딕" w:cs="맑은 고딕" w:eastAsia="맑은 고딕" w:hAnsi="맑은 고딕"/>
          <w:b w:val="false"/>
          <w:bCs w:val="false"/>
          <w:i w:val="false"/>
          <w:iCs w:val="false"/>
          <w:color w:val="1A1A1A"/>
          <w:sz w:val="20"/>
          <w:szCs w:val="20"/>
        </w:rPr>
        <w:t xml:space="preserve"> 제5장에 기술된 분석 체계는 제안을 위해 그려 둔 설계도가 아니라 </w:t>
      </w:r>
      <w:r>
        <w:rPr>
          <w:rFonts w:ascii="맑은 고딕" w:cs="맑은 고딕" w:eastAsia="맑은 고딕" w:hAnsi="맑은 고딕"/>
          <w:b/>
          <w:bCs/>
          <w:i w:val="false"/>
          <w:iCs w:val="false"/>
          <w:color w:val="1A1A1A"/>
          <w:sz w:val="20"/>
          <w:szCs w:val="20"/>
        </w:rPr>
        <w:t xml:space="preserve">이미 작동하는 소프트웨어</w:t>
      </w:r>
      <w:r>
        <w:rPr>
          <w:rFonts w:ascii="맑은 고딕" w:cs="맑은 고딕" w:eastAsia="맑은 고딕" w:hAnsi="맑은 고딕"/>
          <w:b w:val="false"/>
          <w:bCs w:val="false"/>
          <w:i w:val="false"/>
          <w:iCs w:val="false"/>
          <w:color w:val="1A1A1A"/>
          <w:sz w:val="20"/>
          <w:szCs w:val="20"/>
        </w:rPr>
        <w:t xml:space="preserve">입니다. 15개 데이터 레이어 중 13개가 연동되어 있고, 전망은 발행 시점에 봉인되어 실적과 대조되며, 조정계수조차 검증을 통과할 때만 교체됩니다. 동시에 아직 확정되지 않은 항목 — 계수 교정의 실행, 민간 라이선스 데이터 2종, 예측 적중률의 표본 누적 — 도 부록 F에 그대로 적었습니다. 검증 가능성을 제안의 핵심으로 내세우는 문서가 스스로에 대해서만 예외를 두는 것은 성립하지 않기 때문입니다.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 체계에 대해서는 다음 세 가지를 직접 요구하시기 바랍니다.</w:t>
      </w:r>
      <w:r>
        <w:rPr>
          <w:rFonts w:ascii="맑은 고딕" w:cs="맑은 고딕" w:eastAsia="맑은 고딕" w:hAnsi="맑은 고딕"/>
          <w:b w:val="false"/>
          <w:bCs w:val="false"/>
          <w:i w:val="false"/>
          <w:iCs w:val="false"/>
          <w:color w:val="1A1A1A"/>
          <w:sz w:val="20"/>
          <w:szCs w:val="20"/>
        </w:rPr>
        <w:t xml:space="preserve"> 제안서의 서술을 신뢰해 달라고 요청하는 대신, 확인 가능한 형태로 제출합니다.</w:t>
      </w:r>
    </w:p>
    <w:p>
      <w:pPr>
        <w:keepNext/>
        <w:spacing w:after="90" w:before="220"/>
      </w:pPr>
      <w:r>
        <w:rPr>
          <w:rFonts w:ascii="맑은 고딕" w:cs="맑은 고딕" w:eastAsia="맑은 고딕" w:hAnsi="맑은 고딕"/>
          <w:b/>
          <w:bCs/>
          <w:color w:val="1F3864"/>
          <w:sz w:val="18"/>
          <w:szCs w:val="18"/>
        </w:rPr>
        <w:t xml:space="preserve">[표 1-6-1] 분석 체계에 대한 확인 요구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9"/>
        <w:gridCol w:w="7289"/>
      </w:tblGrid>
      <w:tr>
        <w:trPr>
          <w:cantSplit/>
          <w:tblHeader/>
        </w:trPr>
        <w:tc>
          <w:tcPr>
            <w:tcW w:type="dxa" w:w="23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요구 항목</w:t>
            </w:r>
          </w:p>
        </w:tc>
        <w:tc>
          <w:tcPr>
            <w:tcW w:type="dxa" w:w="72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확인되는 것</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 (계약 전 제출)</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현장에서 15개 레이어 중 무엇이 확보되고 무엇이 안 되는가 — 실행 결과로부터 자동 생성되므로 운영 단계와 어긋나지 않음</w:t>
            </w:r>
          </w:p>
        </w:tc>
      </w:tr>
      <w:tr>
        <w:trPr>
          <w:cantSplit/>
          <w:tblHeader w:val="false"/>
        </w:trPr>
        <w:tc>
          <w:tcPr>
            <w:tcW w:type="dxa" w:w="23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근거원장이 포함된 샘플 리포트</w:t>
            </w:r>
          </w:p>
        </w:tc>
        <w:tc>
          <w:tcPr>
            <w:tcW w:type="dxa" w:w="72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수치가 어떤 데이터·규칙·표본에서 나왔는가, 그리고 </w:t>
            </w:r>
            <w:r>
              <w:rPr>
                <w:rFonts w:ascii="맑은 고딕" w:cs="맑은 고딕" w:eastAsia="맑은 고딕" w:hAnsi="맑은 고딕"/>
                <w:b/>
                <w:bCs/>
                <w:color w:val="1A1A1A"/>
                <w:sz w:val="18"/>
                <w:szCs w:val="18"/>
              </w:rPr>
              <w:t xml:space="preserve">무엇이 미산출인가</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 감사 결과</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발행된 전망이 수정되지 않았음이 해시 재계산으로 확인되는가, 불변 장치가 실제로 작동하는가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6종 — GIS 공간분석·시계열·교차검증·반대근거·신뢰도 평가·조정계수 교정(5.4)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교차검증:</w:t>
      </w:r>
      <w:r>
        <w:rPr>
          <w:rFonts w:ascii="맑은 고딕" w:cs="맑은 고딕" w:eastAsia="맑은 고딕" w:hAnsi="맑은 고딕"/>
          <w:b w:val="false"/>
          <w:bCs w:val="false"/>
          <w:i w:val="false"/>
          <w:iCs w:val="false"/>
          <w:color w:val="1A1A1A"/>
          <w:sz w:val="20"/>
          <w:szCs w:val="20"/>
        </w:rPr>
        <w:t xml:space="preserve"> 통계상 유입 출발지 구성은 </w:t>
      </w:r>
      <w:r>
        <w:rPr>
          <w:rFonts w:ascii="맑은 고딕" w:cs="맑은 고딕" w:eastAsia="맑은 고딕" w:hAnsi="맑은 고딕"/>
          <w:b/>
          <w:bCs/>
          <w:i w:val="false"/>
          <w:iCs w:val="false"/>
          <w:color w:val="1A1A1A"/>
          <w:sz w:val="20"/>
          <w:szCs w:val="20"/>
        </w:rPr>
        <w:t xml:space="preserve">현장 방문객의 실제 거주지 분포(제9장 CRM에서 축적)와 대조</w:t>
      </w:r>
      <w:r>
        <w:rPr>
          <w:rFonts w:ascii="맑은 고딕" w:cs="맑은 고딕" w:eastAsia="맑은 고딕" w:hAnsi="맑은 고딕"/>
          <w:b w:val="false"/>
          <w:bCs w:val="false"/>
          <w:i w:val="false"/>
          <w:iCs w:val="false"/>
          <w:color w:val="1A1A1A"/>
          <w:sz w:val="20"/>
          <w:szCs w:val="20"/>
        </w:rPr>
        <w:t xml:space="preserve">됩니다. 통계상 유입이 거의 없는 지역에서 방문객이 몰린다면 수요 가정이 틀렸거나 광고 타깃이 실제 수요와 어긋난 것이므로, 어느 쪽이든 재검토 대상으로 지정됩니다(5.11.3).</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가정과 실측의 분리:</w:t>
      </w:r>
      <w:r>
        <w:rPr>
          <w:rFonts w:ascii="맑은 고딕" w:cs="맑은 고딕" w:eastAsia="맑은 고딕" w:hAnsi="맑은 고딕"/>
          <w:b w:val="false"/>
          <w:bCs w:val="false"/>
          <w:i w:val="false"/>
          <w:iCs w:val="false"/>
          <w:color w:val="1A1A1A"/>
          <w:sz w:val="20"/>
          <w:szCs w:val="20"/>
        </w:rPr>
        <w:t xml:space="preserve"> 공개 통계가 제공하는 것은 평균·중위 같은 대표값이지 가구별 분포가 아닙니다. 당사는 </w:t>
      </w:r>
      <w:r>
        <w:rPr>
          <w:rFonts w:ascii="맑은 고딕" w:cs="맑은 고딕" w:eastAsia="맑은 고딕" w:hAnsi="맑은 고딕"/>
          <w:b/>
          <w:bCs/>
          <w:i w:val="false"/>
          <w:iCs w:val="false"/>
          <w:color w:val="1A1A1A"/>
          <w:sz w:val="20"/>
          <w:szCs w:val="20"/>
        </w:rPr>
        <w:t xml:space="preserve">분포의 중심값을 시군구 실측 중위소득으로 고정</w:t>
      </w:r>
      <w:r>
        <w:rPr>
          <w:rFonts w:ascii="맑은 고딕" w:cs="맑은 고딕" w:eastAsia="맑은 고딕" w:hAnsi="맑은 고딕"/>
          <w:b w:val="false"/>
          <w:bCs w:val="false"/>
          <w:i w:val="false"/>
          <w:iCs w:val="false"/>
          <w:color w:val="1A1A1A"/>
          <w:sz w:val="20"/>
          <w:szCs w:val="20"/>
        </w:rPr>
        <w:t xml:space="preserve">하고, 분포의 형태(로그정규 근사)와 산포는 가정으로 남긴 뒤 그 사실을 리포트에 병기합니다. "전부 가정"과 "형태만 가정"은 다른 상태이며, 그 차이를 발주처가 구분할 수 있어야 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 통제는 사후 검수가 아니라 </w:t>
      </w:r>
      <w:r>
        <w:rPr>
          <w:rFonts w:ascii="맑은 고딕" w:cs="맑은 고딕" w:eastAsia="맑은 고딕" w:hAnsi="맑은 고딕"/>
          <w:b/>
          <w:bCs/>
          <w:i w:val="false"/>
          <w:iCs w:val="false"/>
          <w:color w:val="1A1A1A"/>
          <w:sz w:val="20"/>
          <w:szCs w:val="20"/>
        </w:rPr>
        <w:t xml:space="preserve">문장 생성 단계</w:t>
      </w:r>
      <w:r>
        <w:rPr>
          <w:rFonts w:ascii="맑은 고딕" w:cs="맑은 고딕" w:eastAsia="맑은 고딕" w:hAnsi="맑은 고딕"/>
          <w:b w:val="false"/>
          <w:bCs w:val="false"/>
          <w:i w:val="false"/>
          <w:iCs w:val="false"/>
          <w:color w:val="1A1A1A"/>
          <w:sz w:val="20"/>
          <w:szCs w:val="20"/>
        </w:rPr>
        <w:t xml:space="preserve">에서 이루어집니다 — 최근접역이 보행 보정 기준 도보 10분 이내일 때만 "도보 n분" 문장이 만들어지고, 그 밖에는 문장 자체가 생성되지 않으며 리포트에 실측 직선거리와 함께 "역세권 표현 사용 불가"가 기재됩니다. 현장이 접근성을 주장하려면 좌표가 먼저 그것을 지지해야 합니다.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 / </w:t>
            </w:r>
            <w:r>
              <w:rPr>
                <w:rFonts w:ascii="맑은 고딕" w:cs="맑은 고딕" w:eastAsia="맑은 고딕" w:hAnsi="맑은 고딕"/>
                <w:b/>
                <w:bCs/>
                <w:color w:val="1A1A1A"/>
                <w:sz w:val="18"/>
                <w:szCs w:val="18"/>
              </w:rPr>
              <w:t xml:space="preserve">분양권·입주권 실거래와 프리미엄 추이</w:t>
            </w:r>
            <w:r>
              <w:rPr>
                <w:rFonts w:ascii="맑은 고딕" w:cs="맑은 고딕" w:eastAsia="맑은 고딕" w:hAnsi="맑은 고딕"/>
                <w:color w:val="1A1A1A"/>
                <w:sz w:val="18"/>
                <w:szCs w:val="18"/>
              </w:rPr>
              <w:t xml:space="preserve"> / </w:t>
            </w:r>
            <w:r>
              <w:rPr>
                <w:rFonts w:ascii="맑은 고딕" w:cs="맑은 고딕" w:eastAsia="맑은 고딕" w:hAnsi="맑은 고딕"/>
                <w:b/>
                <w:bCs/>
                <w:color w:val="1A1A1A"/>
                <w:sz w:val="18"/>
                <w:szCs w:val="18"/>
              </w:rPr>
              <w:t xml:space="preserve">매물량 증감과 호가-실거래 갭</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 두 가지를 보완적으로 사용합니다. 첫째, </w:t>
      </w:r>
      <w:r>
        <w:rPr>
          <w:rFonts w:ascii="맑은 고딕" w:cs="맑은 고딕" w:eastAsia="맑은 고딕" w:hAnsi="맑은 고딕"/>
          <w:b/>
          <w:bCs/>
          <w:i w:val="false"/>
          <w:iCs w:val="false"/>
          <w:color w:val="1A1A1A"/>
          <w:sz w:val="20"/>
          <w:szCs w:val="20"/>
        </w:rPr>
        <w:t xml:space="preserve">신축 분양 현장의 우선 비교군은 구축 아파트가 아니라 인근 분양권·입주권 실거래</w:t>
      </w:r>
      <w:r>
        <w:rPr>
          <w:rFonts w:ascii="맑은 고딕" w:cs="맑은 고딕" w:eastAsia="맑은 고딕" w:hAnsi="맑은 고딕"/>
          <w:b w:val="false"/>
          <w:bCs w:val="false"/>
          <w:i w:val="false"/>
          <w:iCs w:val="false"/>
          <w:color w:val="1A1A1A"/>
          <w:sz w:val="20"/>
          <w:szCs w:val="20"/>
        </w:rPr>
        <w:t xml:space="preserve">입니다 — 상품 연식·조건이 가장 유사한 시장 신호이기 때문입니다. 둘째, 실거래는 후행 지표이므로 </w:t>
      </w:r>
      <w:r>
        <w:rPr>
          <w:rFonts w:ascii="맑은 고딕" w:cs="맑은 고딕" w:eastAsia="맑은 고딕" w:hAnsi="맑은 고딕"/>
          <w:b/>
          <w:bCs/>
          <w:i w:val="false"/>
          <w:iCs w:val="false"/>
          <w:color w:val="1A1A1A"/>
          <w:sz w:val="20"/>
          <w:szCs w:val="20"/>
        </w:rPr>
        <w:t xml:space="preserve">매물량 증감과 호가-실거래 갭을 선행 신호</w:t>
      </w:r>
      <w:r>
        <w:rPr>
          <w:rFonts w:ascii="맑은 고딕" w:cs="맑은 고딕" w:eastAsia="맑은 고딕" w:hAnsi="맑은 고딕"/>
          <w:b w:val="false"/>
          <w:bCs w:val="false"/>
          <w:i w:val="false"/>
          <w:iCs w:val="false"/>
          <w:color w:val="1A1A1A"/>
          <w:sz w:val="20"/>
          <w:szCs w:val="20"/>
        </w:rPr>
        <w:t xml:space="preserve">로 함께 추적하여 시장 전환을 조기에 포착합니다(조기경보 체계 5.11.2와 연결).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 최근 6개월 미분양이 20% 이상 증가하면, 확률조정 공급 부담이 낮게 산출되더라도 공급 판정(5.8 ③)을 위험 방향으로 상향합니다.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목록의 검증:</w:t>
      </w:r>
      <w:r>
        <w:rPr>
          <w:rFonts w:ascii="맑은 고딕" w:cs="맑은 고딕" w:eastAsia="맑은 고딕" w:hAnsi="맑은 고딕"/>
          <w:b w:val="false"/>
          <w:bCs w:val="false"/>
          <w:i w:val="false"/>
          <w:iCs w:val="false"/>
          <w:color w:val="1A1A1A"/>
          <w:sz w:val="20"/>
          <w:szCs w:val="20"/>
        </w:rPr>
        <w:t xml:space="preserve"> 공급 목록이 수기 입력에만 의존하면, 공급 판정은 입력한 사람의 주장을 되돌려 주는 것에 지나지 않습니다. 당사는 주택건설실적 통계(인허가·착공·분양·준공)를 별도로 수집하여 두 가지로 사용합니다.</w:t>
      </w:r>
    </w:p>
    <w:p>
      <w:pPr>
        <w:keepNext/>
        <w:spacing w:after="90" w:before="220"/>
      </w:pPr>
      <w:r>
        <w:rPr>
          <w:rFonts w:ascii="맑은 고딕" w:cs="맑은 고딕" w:eastAsia="맑은 고딕" w:hAnsi="맑은 고딕"/>
          <w:b/>
          <w:bCs/>
          <w:color w:val="1F3864"/>
          <w:sz w:val="18"/>
          <w:szCs w:val="18"/>
        </w:rPr>
        <w:t xml:space="preserve">[표 5-6-1] 주택건설실적의 두 가지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 신호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인허가는 착공·분양의 선행 지표입니다. 전년 대비 30% 이상 급증하면, 현재 공급 부담이 낮더라도 중기 위험이 남아 있으므로 공급 판정을 '긍정'으로 닫지 않습니다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목록 교차검증</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입력된 공급 목록(현장 인근)을 시군구 전체 인허가 실적과 대조합니다. 범위가 다르므로 인근 물량이 실적보다 작은 것은 정상이며, </w:t>
            </w:r>
            <w:r>
              <w:rPr>
                <w:rFonts w:ascii="맑은 고딕" w:cs="맑은 고딕" w:eastAsia="맑은 고딕" w:hAnsi="맑은 고딕"/>
                <w:b/>
                <w:bCs/>
                <w:color w:val="1A1A1A"/>
                <w:sz w:val="18"/>
                <w:szCs w:val="18"/>
              </w:rPr>
              <w:t xml:space="preserve">뒤집혀 있을 때</w:t>
            </w:r>
            <w:r>
              <w:rPr>
                <w:rFonts w:ascii="맑은 고딕" w:cs="맑은 고딕" w:eastAsia="맑은 고딕" w:hAnsi="맑은 고딕"/>
                <w:color w:val="1A1A1A"/>
                <w:sz w:val="18"/>
                <w:szCs w:val="18"/>
              </w:rPr>
              <w:t xml:space="preserve"> — 인근 목록이 시군구 전체 인허가를 넘어설 때 — 중복 집계·취소 사업 포함 여부를 경고합니다</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여섯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여섯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모르는 것은 0이 아닙니다.</w:t>
      </w:r>
      <w:r>
        <w:rPr>
          <w:rFonts w:ascii="맑은 고딕" w:cs="맑은 고딕" w:eastAsia="맑은 고딕" w:hAnsi="맑은 고딕"/>
          <w:b w:val="false"/>
          <w:bCs w:val="false"/>
          <w:i w:val="false"/>
          <w:iCs w:val="false"/>
          <w:color w:val="1A1A1A"/>
          <w:sz w:val="20"/>
          <w:szCs w:val="20"/>
        </w:rPr>
        <w:t xml:space="preserve"> 표본이 기준에 미달하면 해당 지표를 '미산출'로 표기하며, 0이나 공란으로 대체하지 않습니다. 예를 들어 소득 표본이 부족해 구매 가능 가구 비율을 낼 수 없을 때 "0%"로 적으면 "수요가 전혀 없다"는 전혀 다른 주장이 되고, 그 값이 수요 판정의 점수로 들어가면 판정 자체가 오염됩니다. 미산출 지표는 판정 계산에서 제외되고 그 사유가 함께 기록됩니다.</w:t>
      </w:r>
    </w:p>
    <w:p>
      <w:pPr>
        <w:pStyle w:val="Heading3"/>
        <w:keepNext/>
        <w:spacing w:after="110" w:before="240"/>
      </w:pPr>
      <w:r>
        <w:rPr>
          <w:rFonts w:ascii="맑은 고딕" w:cs="맑은 고딕" w:eastAsia="맑은 고딕" w:hAnsi="맑은 고딕"/>
          <w:b/>
          <w:bCs/>
          <w:color w:val="5A5A5A"/>
          <w:sz w:val="20"/>
          <w:szCs w:val="20"/>
        </w:rPr>
        <w:t xml:space="preserve">5.4.6 조정계수의 교정 — 계수도 검증 대상이다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품질조정 가격 밴드(5.5)는 비교 거래를 연식·층·거래시점 차이만큼 보정해 표준화합니다. 그 보정률이 문헌·경험 기반의 초기값에 머물면, </w:t>
      </w:r>
      <w:r>
        <w:rPr>
          <w:rFonts w:ascii="맑은 고딕" w:cs="맑은 고딕" w:eastAsia="맑은 고딕" w:hAnsi="맑은 고딕"/>
          <w:b/>
          <w:bCs/>
          <w:i w:val="false"/>
          <w:iCs w:val="false"/>
          <w:color w:val="1A1A1A"/>
          <w:sz w:val="20"/>
          <w:szCs w:val="20"/>
        </w:rPr>
        <w:t xml:space="preserve">밴드 전체가 검증되지 않은 계수 위에 서 있는 셈</w:t>
      </w:r>
      <w:r>
        <w:rPr>
          <w:rFonts w:ascii="맑은 고딕" w:cs="맑은 고딕" w:eastAsia="맑은 고딕" w:hAnsi="맑은 고딕"/>
          <w:b w:val="false"/>
          <w:bCs w:val="false"/>
          <w:i w:val="false"/>
          <w:iCs w:val="false"/>
          <w:color w:val="1A1A1A"/>
          <w:sz w:val="20"/>
          <w:szCs w:val="20"/>
        </w:rPr>
        <w:t xml:space="preserve">입니다. 다른 모든 수치를 검증하면서 계수만 예외로 두는 것은 일관성이 없습니다.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계수를 실거래로 추정하고, 추정치가 검증을 통과할 때만 교체합니다.</w:t>
      </w:r>
    </w:p>
    <w:p>
      <w:pPr>
        <w:keepNext/>
        <w:spacing w:after="90" w:before="220"/>
      </w:pPr>
      <w:r>
        <w:rPr>
          <w:rFonts w:ascii="맑은 고딕" w:cs="맑은 고딕" w:eastAsia="맑은 고딕" w:hAnsi="맑은 고딕"/>
          <w:b/>
          <w:bCs/>
          <w:color w:val="1F3864"/>
          <w:sz w:val="18"/>
          <w:szCs w:val="18"/>
        </w:rPr>
        <w:t xml:space="preserve">[표 5-13-1] 조정계수 교정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추정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 가격의 로그값을 연식·층 구간·면적·거리·브랜드·분양권 여부·시간에 회귀합니다. 연식과 시간 추세를 동시에 넣어 '구축 할인'과 '시장 등락'을 분리합니다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게이트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계수마다 표본 수·통계적 유의성·부호·크기 상한을 검사합니다. 하나라도 통과하지 못하면 그 계수는 </w:t>
            </w:r>
            <w:r>
              <w:rPr>
                <w:rFonts w:ascii="맑은 고딕" w:cs="맑은 고딕" w:eastAsia="맑은 고딕" w:hAnsi="맑은 고딕"/>
                <w:b/>
                <w:bCs/>
                <w:color w:val="1A1A1A"/>
                <w:sz w:val="18"/>
                <w:szCs w:val="18"/>
              </w:rPr>
              <w:t xml:space="preserve">기존 값을 유지</w:t>
            </w:r>
            <w:r>
              <w:rPr>
                <w:rFonts w:ascii="맑은 고딕" w:cs="맑은 고딕" w:eastAsia="맑은 고딕" w:hAnsi="맑은 고딕"/>
                <w:color w:val="1A1A1A"/>
                <w:sz w:val="18"/>
                <w:szCs w:val="18"/>
              </w:rPr>
              <w:t xml:space="preserve">하고 사유를 기록합니다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70% 기간으로만 계수를 재추정해 뒤 30% 기간에 적용하고, 조정 후 잔차 분산이 실제로 줄어드는지 확인합니다. 줄지 않으면 기각합니다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표기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교체 여부와 무관하게, 리포트의 모델 카드에 현재 계수의 출처가 '초기값(미교정)'인지 '실데이터 교정값'인지 명시됩니다</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적중률을 채택 기준으로 쓰지 않는 이유.</w:t>
      </w:r>
      <w:r>
        <w:rPr>
          <w:rFonts w:ascii="맑은 고딕" w:cs="맑은 고딕" w:eastAsia="맑은 고딕" w:hAnsi="맑은 고딕"/>
          <w:b w:val="false"/>
          <w:bCs w:val="false"/>
          <w:i w:val="false"/>
          <w:iCs w:val="false"/>
          <w:color w:val="1A1A1A"/>
          <w:sz w:val="20"/>
          <w:szCs w:val="20"/>
        </w:rPr>
        <w:t xml:space="preserve"> 적중률(부록 E.2)은 구간의 '폭'이 제대로 보정됐는지를 재는 지표입니다. 계수를 바꾸면 밴드와 실현값이 같은 방향으로 함께 움직이므로 적중률은 거의 변하지 않습니다 — 계수 정확도에 둔감한 지표입니다. 따라서 채택은 잔차 분산으로 판단하고, 적중률은 크게 나빠지지 않았는지 확인하는 안전장치로만 사용합니다.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계수는 자동으로 좋아지지 않습니다. </w:t>
      </w:r>
      <w:r>
        <w:rPr>
          <w:rFonts w:ascii="맑은 고딕" w:cs="맑은 고딕" w:eastAsia="맑은 고딕" w:hAnsi="맑은 고딕"/>
          <w:b/>
          <w:bCs/>
          <w:i w:val="false"/>
          <w:iCs w:val="false"/>
          <w:color w:val="1A1A1A"/>
          <w:sz w:val="20"/>
          <w:szCs w:val="20"/>
        </w:rPr>
        <w:t xml:space="preserve">교정이 기각되면 기존 예시값이 유지되고, 그 사실이 리포트에 남습니다.</w:t>
      </w:r>
      <w:r>
        <w:rPr>
          <w:rFonts w:ascii="맑은 고딕" w:cs="맑은 고딕" w:eastAsia="맑은 고딕" w:hAnsi="맑은 고딕"/>
          <w:b w:val="false"/>
          <w:bCs w:val="false"/>
          <w:i w:val="false"/>
          <w:iCs w:val="false"/>
          <w:color w:val="1A1A1A"/>
          <w:sz w:val="20"/>
          <w:szCs w:val="20"/>
        </w:rPr>
        <w:t xml:space="preserve"> 이 절차의 목적은 계수를 바꾸는 것이 아니라, 계수가 어떤 상태인지 발주처가 알 수 있게 하는 것입니다.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86"/>
        <w:gridCol w:w="500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50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세금 + 금융·필수 비용</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이 기준으로 비교하지 않는 가격 우위 주장은 상담 단계에서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 매매 실거래만으로는 "이 가격이 비싼가"에는 답할 수 있어도 </w:t>
      </w:r>
      <w:r>
        <w:rPr>
          <w:rFonts w:ascii="맑은 고딕" w:cs="맑은 고딕" w:eastAsia="맑은 고딕" w:hAnsi="맑은 고딕"/>
          <w:b/>
          <w:bCs/>
          <w:i w:val="false"/>
          <w:iCs w:val="false"/>
          <w:color w:val="1A1A1A"/>
          <w:sz w:val="20"/>
          <w:szCs w:val="20"/>
        </w:rPr>
        <w:t xml:space="preserve">"얼마나 밀릴 수 있는가"</w:t>
      </w:r>
      <w:r>
        <w:rPr>
          <w:rFonts w:ascii="맑은 고딕" w:cs="맑은 고딕" w:eastAsia="맑은 고딕" w:hAnsi="맑은 고딕"/>
          <w:b w:val="false"/>
          <w:bCs w:val="false"/>
          <w:i w:val="false"/>
          <w:iCs w:val="false"/>
          <w:color w:val="1A1A1A"/>
          <w:sz w:val="20"/>
          <w:szCs w:val="20"/>
        </w:rPr>
        <w:t xml:space="preserve">에는 답할 수 없습니다. 매매가에는 미래 기대가 섞여 있기 때문입니다. 전세가는 실거주 수요가 지금 지불하는 금액이라 기대가 섞이지 않으므로, 전세가율을 가격 하락 시의 </w:t>
      </w:r>
      <w:r>
        <w:rPr>
          <w:rFonts w:ascii="맑은 고딕" w:cs="맑은 고딕" w:eastAsia="맑은 고딕" w:hAnsi="맑은 고딕"/>
          <w:b/>
          <w:bCs/>
          <w:i w:val="false"/>
          <w:iCs w:val="false"/>
          <w:color w:val="1A1A1A"/>
          <w:sz w:val="20"/>
          <w:szCs w:val="20"/>
        </w:rPr>
        <w:t xml:space="preserve">완충 두께</w:t>
      </w:r>
      <w:r>
        <w:rPr>
          <w:rFonts w:ascii="맑은 고딕" w:cs="맑은 고딕" w:eastAsia="맑은 고딕" w:hAnsi="맑은 고딕"/>
          <w:b w:val="false"/>
          <w:bCs w:val="false"/>
          <w:i w:val="false"/>
          <w:iCs w:val="false"/>
          <w:color w:val="1A1A1A"/>
          <w:sz w:val="20"/>
          <w:szCs w:val="20"/>
        </w:rPr>
        <w:t xml:space="preserve">로 읽습니다.</w:t>
      </w:r>
    </w:p>
    <w:p>
      <w:pPr>
        <w:keepNext/>
        <w:spacing w:after="90" w:before="220"/>
      </w:pPr>
      <w:r>
        <w:rPr>
          <w:rFonts w:ascii="맑은 고딕" w:cs="맑은 고딕" w:eastAsia="맑은 고딕" w:hAnsi="맑은 고딕"/>
          <w:b/>
          <w:bCs/>
          <w:color w:val="1F3864"/>
          <w:sz w:val="18"/>
          <w:szCs w:val="18"/>
        </w:rPr>
        <w:t xml:space="preserve">[표 5-14-1] 전세 기반 하방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 ÷ 매매 ㎡단가. 70% 이상 하방 지지 두터움 / 55% 미만 완충 얇음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 추세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동일 기간 대비 증감. 상승은 실거주 수요 강화, 하락은 약화 신호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전월세전환율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월세 시장이 요구하는 수익률. 전세 대비 월세 부담의 상대 수준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투자 수요의 실제 자금 부담을 근거 있는 수치로 설명</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판정(5.8 ①)에는 다음과 같이 반영됩니다 — 총취득원가가 밴드 상단인데 전세 완충까지 얇으면 두 신호가 같은 방향을 가리키므로 하방 위험의 </w:t>
      </w:r>
      <w:r>
        <w:rPr>
          <w:rFonts w:ascii="맑은 고딕" w:cs="맑은 고딕" w:eastAsia="맑은 고딕" w:hAnsi="맑은 고딕"/>
          <w:b/>
          <w:bCs/>
          <w:i w:val="false"/>
          <w:iCs w:val="false"/>
          <w:color w:val="1A1A1A"/>
          <w:sz w:val="20"/>
          <w:szCs w:val="20"/>
        </w:rPr>
        <w:t xml:space="preserve">강도를 상향</w:t>
      </w:r>
      <w:r>
        <w:rPr>
          <w:rFonts w:ascii="맑은 고딕" w:cs="맑은 고딕" w:eastAsia="맑은 고딕" w:hAnsi="맑은 고딕"/>
          <w:b w:val="false"/>
          <w:bCs w:val="false"/>
          <w:i w:val="false"/>
          <w:iCs w:val="false"/>
          <w:color w:val="1A1A1A"/>
          <w:sz w:val="20"/>
          <w:szCs w:val="20"/>
        </w:rPr>
        <w:t xml:space="preserve">하고, 완충이 두터우면 </w:t>
      </w:r>
      <w:r>
        <w:rPr>
          <w:rFonts w:ascii="맑은 고딕" w:cs="맑은 고딕" w:eastAsia="맑은 고딕" w:hAnsi="맑은 고딕"/>
          <w:b/>
          <w:bCs/>
          <w:i w:val="false"/>
          <w:iCs w:val="false"/>
          <w:color w:val="1A1A1A"/>
          <w:sz w:val="20"/>
          <w:szCs w:val="20"/>
        </w:rPr>
        <w:t xml:space="preserve">강도를 하향</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규칙 두 가지.</w:t>
      </w:r>
      <w:r>
        <w:rPr>
          <w:rFonts w:ascii="맑은 고딕" w:cs="맑은 고딕" w:eastAsia="맑은 고딕" w:hAnsi="맑은 고딕"/>
          <w:b w:val="false"/>
          <w:bCs w:val="false"/>
          <w:i w:val="false"/>
          <w:iCs w:val="false"/>
          <w:color w:val="1A1A1A"/>
          <w:sz w:val="20"/>
          <w:szCs w:val="20"/>
        </w:rPr>
        <w:t xml:space="preserve"> 첫째, </w:t>
      </w:r>
      <w:r>
        <w:rPr>
          <w:rFonts w:ascii="맑은 고딕" w:cs="맑은 고딕" w:eastAsia="맑은 고딕" w:hAnsi="맑은 고딕"/>
          <w:b/>
          <w:bCs/>
          <w:i w:val="false"/>
          <w:iCs w:val="false"/>
          <w:color w:val="1A1A1A"/>
          <w:sz w:val="20"/>
          <w:szCs w:val="20"/>
        </w:rPr>
        <w:t xml:space="preserve">갱신 계약은 제외</w:t>
      </w:r>
      <w:r>
        <w:rPr>
          <w:rFonts w:ascii="맑은 고딕" w:cs="맑은 고딕" w:eastAsia="맑은 고딕" w:hAnsi="맑은 고딕"/>
          <w:b w:val="false"/>
          <w:bCs w:val="false"/>
          <w:i w:val="false"/>
          <w:iCs w:val="false"/>
          <w:color w:val="1A1A1A"/>
          <w:sz w:val="20"/>
          <w:szCs w:val="20"/>
        </w:rPr>
        <w:t xml:space="preserve">합니다 — 갱신요구권·상한제의 영향으로 신규 체결가와 가격 형성 논리가 다르기 때문이며, 제외 건수는 리포트에 표기됩니다. 둘째, 전세 표본이 최소 기준에 미달하면 전세가율을 산출하지 않고 그 사실을 기재합니다.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청약 수요 전망 (예상 청약경쟁률).</w:t>
      </w:r>
      <w:r>
        <w:rPr>
          <w:rFonts w:ascii="맑은 고딕" w:cs="맑은 고딕" w:eastAsia="맑은 고딕" w:hAnsi="맑은 고딕"/>
          <w:b w:val="false"/>
          <w:bCs w:val="false"/>
          <w:i w:val="false"/>
          <w:iCs w:val="false"/>
          <w:color w:val="1A1A1A"/>
          <w:sz w:val="20"/>
          <w:szCs w:val="20"/>
        </w:rPr>
        <w:t xml:space="preserve"> 청약 방식으로 공급되는 현장에 대해서는 예상 청약경쟁률을 </w:t>
      </w:r>
      <w:r>
        <w:rPr>
          <w:rFonts w:ascii="맑은 고딕" w:cs="맑은 고딕" w:eastAsia="맑은 고딕" w:hAnsi="맑은 고딕"/>
          <w:b/>
          <w:bCs/>
          <w:i w:val="false"/>
          <w:iCs w:val="false"/>
          <w:color w:val="1A1A1A"/>
          <w:sz w:val="20"/>
          <w:szCs w:val="20"/>
        </w:rPr>
        <w:t xml:space="preserve">구간(범위)과 미달 위험</w:t>
      </w:r>
      <w:r>
        <w:rPr>
          <w:rFonts w:ascii="맑은 고딕" w:cs="맑은 고딕" w:eastAsia="맑은 고딕" w:hAnsi="맑은 고딕"/>
          <w:b w:val="false"/>
          <w:bCs w:val="false"/>
          <w:i w:val="false"/>
          <w:iCs w:val="false"/>
          <w:color w:val="1A1A1A"/>
          <w:sz w:val="20"/>
          <w:szCs w:val="20"/>
        </w:rPr>
        <w:t xml:space="preserve">으로 제시합니다.</w:t>
      </w:r>
    </w:p>
    <w:p>
      <w:pPr>
        <w:keepNext/>
        <w:spacing w:after="90" w:before="220"/>
      </w:pPr>
      <w:r>
        <w:rPr>
          <w:rFonts w:ascii="맑은 고딕" w:cs="맑은 고딕" w:eastAsia="맑은 고딕" w:hAnsi="맑은 고딕"/>
          <w:b/>
          <w:bCs/>
          <w:color w:val="1F3864"/>
          <w:sz w:val="18"/>
          <w:szCs w:val="18"/>
        </w:rPr>
        <w:t xml:space="preserve">[표 5-14-2] 청약 수요 전망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변수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분양가와 주변 시세의 격차(품질조정 기준), 시장권 청약 이력(경쟁률·미달·가점 커트라인), 공급 파이프라인과 동시 분양 물량, 수요 기반(C1·C2), 미분양 재고, 청약 제도·전매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및 타입별 예상 경쟁률 구간, 순위 내 마감·미달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시장권 청약 실적 대비 백테스트. 예측 구간의 실적 적중률을 산출하여 리포트에 병기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전망은 FORECAST 등급(5.9.1)으로 분류. 조건·범위 없이 단일 수치로 광고에 사용 금지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청약 전망의 실무 가치는 숫자 자체가 아니라 </w:t>
      </w:r>
      <w:r>
        <w:rPr>
          <w:rFonts w:ascii="맑은 고딕" w:cs="맑은 고딕" w:eastAsia="맑은 고딕" w:hAnsi="맑은 고딕"/>
          <w:b/>
          <w:bCs/>
          <w:i w:val="false"/>
          <w:iCs w:val="false"/>
          <w:color w:val="1A1A1A"/>
          <w:sz w:val="20"/>
          <w:szCs w:val="20"/>
        </w:rPr>
        <w:t xml:space="preserve">의사결정 시점의 이동</w:t>
      </w:r>
      <w:r>
        <w:rPr>
          <w:rFonts w:ascii="맑은 고딕" w:cs="맑은 고딕" w:eastAsia="맑은 고딕" w:hAnsi="맑은 고딕"/>
          <w:b w:val="false"/>
          <w:bCs w:val="false"/>
          <w:i w:val="false"/>
          <w:iCs w:val="false"/>
          <w:color w:val="1A1A1A"/>
          <w:sz w:val="20"/>
          <w:szCs w:val="20"/>
        </w:rPr>
        <w:t xml:space="preserve">에 있습니다. 미달 위험이 사전에 식별되면 분양가·타입 구성·판촉 조건의 조정을 청약 전에 검토할 수 있고, 높은 경쟁이 전망되면 청약 후 미계약분 관리와 정당계약 전환 준비에 자원을 배분할 수 있습니다. 모듈의 기술 명세와 검증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실부담 시뮬레이션.</w:t>
      </w:r>
      <w:r>
        <w:rPr>
          <w:rFonts w:ascii="맑은 고딕" w:cs="맑은 고딕" w:eastAsia="맑은 고딕" w:hAnsi="맑은 고딕"/>
          <w:b w:val="false"/>
          <w:bCs w:val="false"/>
          <w:i w:val="false"/>
          <w:iCs w:val="false"/>
          <w:color w:val="1A1A1A"/>
          <w:sz w:val="20"/>
          <w:szCs w:val="20"/>
        </w:rPr>
        <w:t xml:space="preserve"> 총취득원가는 구매 시점의 비용입니다. 고객의 실제 질문은 한 단계 더 나아갑니다 — "자기자본이 얼마 필요하고, 매월 얼마를 부담하게 되는가." 이 질문에 답하기 위해 총취득원가 모듈을 실부담 시뮬레이션으로 확장합니다.</w:t>
      </w:r>
    </w:p>
    <w:p>
      <w:pPr>
        <w:keepNext/>
        <w:spacing w:after="90" w:before="220"/>
      </w:pPr>
      <w:r>
        <w:rPr>
          <w:rFonts w:ascii="맑은 고딕" w:cs="맑은 고딕" w:eastAsia="맑은 고딕" w:hAnsi="맑은 고딕"/>
          <w:b/>
          <w:bCs/>
          <w:color w:val="1F3864"/>
          <w:sz w:val="18"/>
          <w:szCs w:val="18"/>
        </w:rPr>
        <w:t xml:space="preserve">[표 5-14-3] 실부담 시뮬레이션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자기자본 요구액</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계약금·중도금 구조, 중도금 대출 조건(무이자·유이자), 잔금 대출 한도를 반영한 시점별 필요 자기자본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 부담 구간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대출 규제(LTV·DSR) 적용 한도와 금리 시나리오별 월 상환 부담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금리·대출 규제 변화에 따른 부담 변화 폭</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구매 가능 가구 규모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L5(소득·구매력)와 결합하여 생활권·통근권 내 "이 실부담을 감당 가능한 가구 수"를 추정 — 수요 판정(5.8 ②)의 입력으로 사용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시뮬레이션은 상담 자료(제6장)의 자금 계획 안내와 동일한 산식을 사용하므로, 광고·상담·리포트의 부담액 설명이 일치합니다.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 위 모듈들은 "지금 가격이 어디쯤인가"에 답합니다. 그러나 시행사가 실제로 결정해야 하는 것은 </w:t>
      </w:r>
      <w:r>
        <w:rPr>
          <w:rFonts w:ascii="맑은 고딕" w:cs="맑은 고딕" w:eastAsia="맑은 고딕" w:hAnsi="맑은 고딕"/>
          <w:b/>
          <w:bCs/>
          <w:i w:val="false"/>
          <w:iCs w:val="false"/>
          <w:color w:val="1A1A1A"/>
          <w:sz w:val="20"/>
          <w:szCs w:val="20"/>
        </w:rPr>
        <w:t xml:space="preserve">"분양가를 얼마로 잡을 것인가"</w:t>
      </w:r>
      <w:r>
        <w:rPr>
          <w:rFonts w:ascii="맑은 고딕" w:cs="맑은 고딕" w:eastAsia="맑은 고딕" w:hAnsi="맑은 고딕"/>
          <w:b w:val="false"/>
          <w:bCs w:val="false"/>
          <w:i w:val="false"/>
          <w:iCs w:val="false"/>
          <w:color w:val="1A1A1A"/>
          <w:sz w:val="20"/>
          <w:szCs w:val="20"/>
        </w:rPr>
        <w:t xml:space="preserve">입니다. 진단과 결정 사이의 이 간극을 메우기 위해, 후보 가격대를 훑으며 각 가격에서 무엇이 달라지는지를 같은 근거로 계산합니다.</w:t>
      </w:r>
    </w:p>
    <w:p>
      <w:pPr>
        <w:keepNext/>
        <w:spacing w:after="90" w:before="220"/>
      </w:pPr>
      <w:r>
        <w:rPr>
          <w:rFonts w:ascii="맑은 고딕" w:cs="맑은 고딕" w:eastAsia="맑은 고딕" w:hAnsi="맑은 고딕"/>
          <w:b/>
          <w:bCs/>
          <w:color w:val="1F3864"/>
          <w:sz w:val="18"/>
          <w:szCs w:val="18"/>
        </w:rPr>
        <w:t xml:space="preserve">[표 5-14-4] 분양가 결정 시뮬레이션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각 후보 가격에서 산출되는 값</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위치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비교 밴드 대비 하단 / 내 / 상단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기준 구매 가능 가구 비율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경쟁률 구간 — 가격이 바뀌면 시세 갭이 바뀌고, 그러면 유사 사례 매칭 자체가 바뀝니다. 그 연쇄를 그대로 반영합니다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순위 내 미달 위험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분양수입 — 의사결정의 반대편 축</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권고는 예언이 아니라 규칙입니다.</w:t>
      </w:r>
      <w:r>
        <w:rPr>
          <w:rFonts w:ascii="맑은 고딕" w:cs="맑은 고딕" w:eastAsia="맑은 고딕" w:hAnsi="맑은 고딕"/>
          <w:b w:val="false"/>
          <w:bCs w:val="false"/>
          <w:i w:val="false"/>
          <w:iCs w:val="false"/>
          <w:color w:val="1A1A1A"/>
          <w:sz w:val="20"/>
          <w:szCs w:val="20"/>
        </w:rPr>
        <w:t xml:space="preserve"> 두 조건 — ① 미달 위험이 임계 이하 ② 총취득원가가 비교 밴드 상단을 넘지 않음 — 을 동시에 만족하는 후보 중 </w:t>
      </w:r>
      <w:r>
        <w:rPr>
          <w:rFonts w:ascii="맑은 고딕" w:cs="맑은 고딕" w:eastAsia="맑은 고딕" w:hAnsi="맑은 고딕"/>
          <w:b/>
          <w:bCs/>
          <w:i w:val="false"/>
          <w:iCs w:val="false"/>
          <w:color w:val="1A1A1A"/>
          <w:sz w:val="20"/>
          <w:szCs w:val="20"/>
        </w:rPr>
        <w:t xml:space="preserve">가장 높은 가격</w:t>
      </w:r>
      <w:r>
        <w:rPr>
          <w:rFonts w:ascii="맑은 고딕" w:cs="맑은 고딕" w:eastAsia="맑은 고딕" w:hAnsi="맑은 고딕"/>
          <w:b w:val="false"/>
          <w:bCs w:val="false"/>
          <w:i w:val="false"/>
          <w:iCs w:val="false"/>
          <w:color w:val="1A1A1A"/>
          <w:sz w:val="20"/>
          <w:szCs w:val="20"/>
        </w:rPr>
        <w:t xml:space="preserve">을 권고하며, </w:t>
      </w:r>
      <w:r>
        <w:rPr>
          <w:rFonts w:ascii="맑은 고딕" w:cs="맑은 고딕" w:eastAsia="맑은 고딕" w:hAnsi="맑은 고딕"/>
          <w:b/>
          <w:bCs/>
          <w:i w:val="false"/>
          <w:iCs w:val="false"/>
          <w:color w:val="1A1A1A"/>
          <w:sz w:val="20"/>
          <w:szCs w:val="20"/>
        </w:rPr>
        <w:t xml:space="preserve">그 판단 기준을 문장으로 함께 제시</w:t>
      </w:r>
      <w:r>
        <w:rPr>
          <w:rFonts w:ascii="맑은 고딕" w:cs="맑은 고딕" w:eastAsia="맑은 고딕" w:hAnsi="맑은 고딕"/>
          <w:b w:val="false"/>
          <w:bCs w:val="false"/>
          <w:i w:val="false"/>
          <w:iCs w:val="false"/>
          <w:color w:val="1A1A1A"/>
          <w:sz w:val="20"/>
          <w:szCs w:val="20"/>
        </w:rPr>
        <w:t xml:space="preserve">합니다. 조건을 바꾸면 답도 바뀐다는 사실이 발주처에게 보여야 하기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권고하지 않는 경우도 사유를 구분해 말합니다. 비교 밴드 표본이 부족해 가격 위치를 판단할 수 없는 경우, 유사 청약 사례가 부족해 미달 위험을 산출할 수 없는 경우, 산출은 됐으나 두 조건을 만족하는 후보가 없는 경우 — 세 경우의 대응이 서로 다르므로 뭉뚱그리지 않습니다. 특히 세 번째는 마케팅이 아니라 </w:t>
      </w:r>
      <w:r>
        <w:rPr>
          <w:rFonts w:ascii="맑은 고딕" w:cs="맑은 고딕" w:eastAsia="맑은 고딕" w:hAnsi="맑은 고딕"/>
          <w:b/>
          <w:bCs/>
          <w:i w:val="false"/>
          <w:iCs w:val="false"/>
          <w:color w:val="1A1A1A"/>
          <w:sz w:val="20"/>
          <w:szCs w:val="20"/>
        </w:rPr>
        <w:t xml:space="preserve">원가·상품 구성의 재검토를 발주처 안건으로 제기해야 하는 신호</w:t>
      </w:r>
      <w:r>
        <w:rPr>
          <w:rFonts w:ascii="맑은 고딕" w:cs="맑은 고딕" w:eastAsia="맑은 고딕" w:hAnsi="맑은 고딕"/>
          <w:b w:val="false"/>
          <w:bCs w:val="false"/>
          <w:i w:val="false"/>
          <w:iCs w:val="false"/>
          <w:color w:val="1A1A1A"/>
          <w:sz w:val="20"/>
          <w:szCs w:val="20"/>
        </w:rPr>
        <w:t xml:space="preserve">입니다(5.8 판정 조합 참조).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세분화와 표본의 균형 (롤업 규칙).</w:t>
      </w:r>
      <w:r>
        <w:rPr>
          <w:rFonts w:ascii="맑은 고딕" w:cs="맑은 고딕" w:eastAsia="맑은 고딕" w:hAnsi="맑은 고딕"/>
          <w:b w:val="false"/>
          <w:bCs w:val="false"/>
          <w:i w:val="false"/>
          <w:iCs w:val="false"/>
          <w:color w:val="1A1A1A"/>
          <w:sz w:val="20"/>
          <w:szCs w:val="20"/>
        </w:rPr>
        <w:t xml:space="preserve"> 타입·층 구간으로 세분화할수록 비교 표본은 감소합니다. 당사는 구간별 최소 표본 기준을 정의하고, 기준 미달 시 해당 구간의 수치를 상위 집계(타입 구간 → 타입 전체 → 현장)로 자동 롤업하며, </w:t>
      </w:r>
      <w:r>
        <w:rPr>
          <w:rFonts w:ascii="맑은 고딕" w:cs="맑은 고딕" w:eastAsia="맑은 고딕" w:hAnsi="맑은 고딕"/>
          <w:b/>
          <w:bCs/>
          <w:i w:val="false"/>
          <w:iCs w:val="false"/>
          <w:color w:val="1A1A1A"/>
          <w:sz w:val="20"/>
          <w:szCs w:val="20"/>
        </w:rPr>
        <w:t xml:space="preserve">롤업 사실을 리포트에 명시</w:t>
      </w:r>
      <w:r>
        <w:rPr>
          <w:rFonts w:ascii="맑은 고딕" w:cs="맑은 고딕" w:eastAsia="맑은 고딕" w:hAnsi="맑은 고딕"/>
          <w:b w:val="false"/>
          <w:bCs w:val="false"/>
          <w:i w:val="false"/>
          <w:iCs w:val="false"/>
          <w:color w:val="1A1A1A"/>
          <w:sz w:val="20"/>
          <w:szCs w:val="20"/>
        </w:rPr>
        <w:t xml:space="preserve">합니다. 표본이 지지하지 않는 세분화 수치를 제시하지 않는 것 — 이것이 세대 단위 정밀도 주장과 검증 가능성을 양립시키는 방법입니다.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 구간 예측의 적중률 관리 기준과 예측 이력의 봉인·대조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검증은 운영과 같은 코드로 수행됩니다.</w:t>
      </w:r>
      <w:r>
        <w:rPr>
          <w:rFonts w:ascii="맑은 고딕" w:cs="맑은 고딕" w:eastAsia="맑은 고딕" w:hAnsi="맑은 고딕"/>
          <w:b w:val="false"/>
          <w:bCs w:val="false"/>
          <w:i w:val="false"/>
          <w:iCs w:val="false"/>
          <w:color w:val="1A1A1A"/>
          <w:sz w:val="20"/>
          <w:szCs w:val="20"/>
        </w:rPr>
        <w:t xml:space="preserve"> 백테스트가 별도 스크립트로 돌면 "리포트에 나가는 구간"과 "검증되는 구간"이 달라질 수 있습니다. 당사는 두 경로가 동일한 산출 함수를 호출하도록 구성하여, 검증된 것이 곧 납품되는 것임을 구조적으로 보장합니다. 조정계수 역시 이 백테스트와 홀드아웃 검증(5.4.6)을 통과할 때만 교체됩니다.</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와 </w:t>
      </w: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이, 판정 ②의 산출물에는 </w:t>
      </w:r>
      <w:r>
        <w:rPr>
          <w:rFonts w:ascii="맑은 고딕" w:cs="맑은 고딕" w:eastAsia="맑은 고딕" w:hAnsi="맑은 고딕"/>
          <w:b/>
          <w:bCs/>
          <w:i w:val="false"/>
          <w:iCs w:val="false"/>
          <w:color w:val="1A1A1A"/>
          <w:sz w:val="20"/>
          <w:szCs w:val="20"/>
        </w:rPr>
        <w:t xml:space="preserve">예상 청약경쟁률 구간과 미달 위험 등급</w:t>
      </w:r>
      <w:r>
        <w:rPr>
          <w:rFonts w:ascii="맑은 고딕" w:cs="맑은 고딕" w:eastAsia="맑은 고딕" w:hAnsi="맑은 고딕"/>
          <w:b w:val="false"/>
          <w:bCs w:val="false"/>
          <w:i w:val="false"/>
          <w:iCs w:val="false"/>
          <w:color w:val="1A1A1A"/>
          <w:sz w:val="20"/>
          <w:szCs w:val="20"/>
        </w:rPr>
        <w:t xml:space="preserve">(5.5)이 포함됩니다 — 모두 단일 수치가 아니라 5.7의 조건부 범위 규율을 적용한 구간 제시입니다. 네 판정을 종합한 결과는 </w:t>
      </w: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(5.5)으로 이어져, 진단이 가격 결정 안건으로 전환됩니다.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판정의 근거에는 어떤 레이어가 기여했는지가 함께 표기됩니다. 예를 들어 판정 ②에는 지역 통계(L1·L2·L4)·인구이동(L3)·생활이동(L7)·교통 접근성(L8)·생활 인프라(L9)·실부담·청약 전망이 각각 별도 항목으로 나열되므로, 발주처는 </w:t>
      </w:r>
      <w:r>
        <w:rPr>
          <w:rFonts w:ascii="맑은 고딕" w:cs="맑은 고딕" w:eastAsia="맑은 고딕" w:hAnsi="맑은 고딕"/>
          <w:b/>
          <w:bCs/>
          <w:i w:val="false"/>
          <w:iCs w:val="false"/>
          <w:color w:val="1A1A1A"/>
          <w:sz w:val="20"/>
          <w:szCs w:val="20"/>
        </w:rPr>
        <w:t xml:space="preserve">어느 근거가 판정을 이끌었고 어느 근거가 미산출이었는지</w:t>
      </w:r>
      <w:r>
        <w:rPr>
          <w:rFonts w:ascii="맑은 고딕" w:cs="맑은 고딕" w:eastAsia="맑은 고딕" w:hAnsi="맑은 고딕"/>
          <w:b w:val="false"/>
          <w:bCs w:val="false"/>
          <w:i w:val="false"/>
          <w:iCs w:val="false"/>
          <w:color w:val="1A1A1A"/>
          <w:sz w:val="20"/>
          <w:szCs w:val="20"/>
        </w:rPr>
        <w:t xml:space="preserve">를 직접 확인할 수 있습니다.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리포트에 실리는 형태.</w:t>
      </w:r>
      <w:r>
        <w:rPr>
          <w:rFonts w:ascii="맑은 고딕" w:cs="맑은 고딕" w:eastAsia="맑은 고딕" w:hAnsi="맑은 고딕"/>
          <w:b w:val="false"/>
          <w:bCs w:val="false"/>
          <w:i w:val="false"/>
          <w:iCs w:val="false"/>
          <w:color w:val="1A1A1A"/>
          <w:sz w:val="20"/>
          <w:szCs w:val="20"/>
        </w:rPr>
        <w:t xml:space="preserve"> 근거원장은 내부 관리 문서에 그치지 않고, </w:t>
      </w:r>
      <w:r>
        <w:rPr>
          <w:rFonts w:ascii="맑은 고딕" w:cs="맑은 고딕" w:eastAsia="맑은 고딕" w:hAnsi="맑은 고딕"/>
          <w:b/>
          <w:bCs/>
          <w:i w:val="false"/>
          <w:iCs w:val="false"/>
          <w:color w:val="1A1A1A"/>
          <w:sz w:val="20"/>
          <w:szCs w:val="20"/>
        </w:rPr>
        <w:t xml:space="preserve">진단리포트의 한 절로 함께 납품</w:t>
      </w:r>
      <w:r>
        <w:rPr>
          <w:rFonts w:ascii="맑은 고딕" w:cs="맑은 고딕" w:eastAsia="맑은 고딕" w:hAnsi="맑은 고딕"/>
          <w:b w:val="false"/>
          <w:bCs w:val="false"/>
          <w:i w:val="false"/>
          <w:iCs w:val="false"/>
          <w:color w:val="1A1A1A"/>
          <w:sz w:val="20"/>
          <w:szCs w:val="20"/>
        </w:rPr>
        <w:t xml:space="preserve">됩니다. 리포트를 읽는 사람이 어떤 수치든 짚어서 되물을 수 있어야 하기 때문입니다.</w:t>
      </w:r>
    </w:p>
    <w:p>
      <w:pPr>
        <w:keepNext/>
        <w:spacing w:after="90" w:before="220"/>
      </w:pPr>
      <w:r>
        <w:rPr>
          <w:rFonts w:ascii="맑은 고딕" w:cs="맑은 고딕" w:eastAsia="맑은 고딕" w:hAnsi="맑은 고딕"/>
          <w:b/>
          <w:bCs/>
          <w:color w:val="1F3864"/>
          <w:sz w:val="18"/>
          <w:szCs w:val="18"/>
        </w:rPr>
        <w:t xml:space="preserve">[표 5-21-1] 근거원장 등재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본문에서 참조하는 식별자 (E-01, E-02 …)</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지표·값</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무엇이 얼마인가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모듈의 어떤 규칙으로 계산했는가 — 정제 룰 버전, 모델 버전, 계수 출처 포함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수집 이력에 기반하는가 — 출처명·수집 시각·응답 해시(SHA-256)</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몇 건에서 나왔는가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 / CALCULATION / INFERENCE / FORECAST / LIMITATION (5.9.1)</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수치를 읽을 때 반드시 함께 봐야 하는 제약</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산출하지 못한 지표도 '미산출'로 등재합니다.</w:t>
      </w:r>
      <w:r>
        <w:rPr>
          <w:rFonts w:ascii="맑은 고딕" w:cs="맑은 고딕" w:eastAsia="맑은 고딕" w:hAnsi="맑은 고딕"/>
          <w:b w:val="false"/>
          <w:bCs w:val="false"/>
          <w:i w:val="false"/>
          <w:iCs w:val="false"/>
          <w:color w:val="1A1A1A"/>
          <w:sz w:val="20"/>
          <w:szCs w:val="20"/>
        </w:rPr>
        <w:t xml:space="preserve"> 없는 근거를 조용히 빼면, 독자는 그 지표가 </w:t>
      </w:r>
      <w:r>
        <w:rPr>
          <w:rFonts w:ascii="맑은 고딕" w:cs="맑은 고딕" w:eastAsia="맑은 고딕" w:hAnsi="맑은 고딕"/>
          <w:b w:val="false"/>
          <w:bCs w:val="false"/>
          <w:i/>
          <w:iCs/>
          <w:color w:val="5A5A5A"/>
          <w:sz w:val="20"/>
          <w:szCs w:val="20"/>
        </w:rPr>
        <w:t xml:space="preserve">검토되지 않았는지</w:t>
      </w:r>
      <w:r>
        <w:rPr>
          <w:rFonts w:ascii="맑은 고딕" w:cs="맑은 고딕" w:eastAsia="맑은 고딕" w:hAnsi="맑은 고딕"/>
          <w:b w:val="false"/>
          <w:bCs w:val="false"/>
          <w:i w:val="false"/>
          <w:iCs w:val="false"/>
          <w:color w:val="1A1A1A"/>
          <w:sz w:val="20"/>
          <w:szCs w:val="20"/>
        </w:rPr>
        <w:t xml:space="preserve"> 아니면 </w:t>
      </w:r>
      <w:r>
        <w:rPr>
          <w:rFonts w:ascii="맑은 고딕" w:cs="맑은 고딕" w:eastAsia="맑은 고딕" w:hAnsi="맑은 고딕"/>
          <w:b w:val="false"/>
          <w:bCs w:val="false"/>
          <w:i/>
          <w:iCs/>
          <w:color w:val="5A5A5A"/>
          <w:sz w:val="20"/>
          <w:szCs w:val="20"/>
        </w:rPr>
        <w:t xml:space="preserve">검토했으나 표본이 기준에 미달했는지</w:t>
      </w:r>
      <w:r>
        <w:rPr>
          <w:rFonts w:ascii="맑은 고딕" w:cs="맑은 고딕" w:eastAsia="맑은 고딕" w:hAnsi="맑은 고딕"/>
          <w:b w:val="false"/>
          <w:bCs w:val="false"/>
          <w:i w:val="false"/>
          <w:iCs w:val="false"/>
          <w:color w:val="1A1A1A"/>
          <w:sz w:val="20"/>
          <w:szCs w:val="20"/>
        </w:rPr>
        <w:t xml:space="preserve"> 구분할 수 없습니다. 그 구분이 신뢰의 핵심이므로 빼지 않고 사유와 함께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인증키·원본 요청 URL은 원장에 기록되지 않습니다. 출처명과 응답 해시만으로 재현·대조가 가능하며, 자격증명이 산출물로 새어 나가지 않도록 통제합니다.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커버리지표는 손으로 작성하지 않습니다.</w:t>
      </w:r>
      <w:r>
        <w:rPr>
          <w:rFonts w:ascii="맑은 고딕" w:cs="맑은 고딕" w:eastAsia="맑은 고딕" w:hAnsi="맑은 고딕"/>
          <w:b w:val="false"/>
          <w:bCs w:val="false"/>
          <w:i w:val="false"/>
          <w:iCs w:val="false"/>
          <w:color w:val="1A1A1A"/>
          <w:sz w:val="20"/>
          <w:szCs w:val="20"/>
        </w:rPr>
        <w:t xml:space="preserve"> 실제 수집 상태로부터 자동 생성되어, 어떤 레이어가 어떤 사유로 어떤 판정을 받았는지가 실행 결과와 항상 일치합니다. 제안 단계에서 유리하게 적어 두고 운영 단계에서 달라지는 일이 구조적으로 발생하지 않습니다. 현재 구현 기준으로 15개 레이어 중 </w:t>
      </w:r>
      <w:r>
        <w:rPr>
          <w:rFonts w:ascii="맑은 고딕" w:cs="맑은 고딕" w:eastAsia="맑은 고딕" w:hAnsi="맑은 고딕"/>
          <w:b/>
          <w:bCs/>
          <w:i w:val="false"/>
          <w:iCs w:val="false"/>
          <w:color w:val="1A1A1A"/>
          <w:sz w:val="20"/>
          <w:szCs w:val="20"/>
        </w:rPr>
        <w:t xml:space="preserve">13개가 연동</w:t>
      </w:r>
      <w:r>
        <w:rPr>
          <w:rFonts w:ascii="맑은 고딕" w:cs="맑은 고딕" w:eastAsia="맑은 고딕" w:hAnsi="맑은 고딕"/>
          <w:b w:val="false"/>
          <w:bCs w:val="false"/>
          <w:i w:val="false"/>
          <w:iCs w:val="false"/>
          <w:color w:val="1A1A1A"/>
          <w:sz w:val="20"/>
          <w:szCs w:val="20"/>
        </w:rPr>
        <w:t xml:space="preserve">되어 있으며, 미연동 2개(L6 유동인구·L10 카드소비)는 민간 라이선스 협의 대상입니다(상세는 부록 F).</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keepNext/>
        <w:spacing w:after="90" w:before="220"/>
      </w:pPr>
      <w:r>
        <w:rPr>
          <w:rFonts w:ascii="맑은 고딕" w:cs="맑은 고딕" w:eastAsia="맑은 고딕" w:hAnsi="맑은 고딕"/>
          <w:b/>
          <w:bCs/>
          <w:color w:val="1F3864"/>
          <w:sz w:val="18"/>
          <w:szCs w:val="18"/>
        </w:rPr>
        <w:t xml:space="preserve">[표 5-23-1] 중단·미산출의 세 단계 구분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규율은 선언이 아니라 실행 시점에 강제됩니다. 결함의 성격에 따라 대응이 달라집니다.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65"/>
        <w:gridCol w:w="422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2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조건 (예시)</w:t>
            </w:r>
          </w:p>
        </w:tc>
        <w:tc>
          <w:tcPr>
            <w:tcW w:type="dxa" w:w="42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중단</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좌표 미확정, 타입별 세대수 합 불일치, 분양가 단위 오류, 기준일 이후 거래·계약 혼입, 정제 후 비교 거래 0건</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리포트를 생성하지 않고 사유와 조치 방향을 반환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미산출</w:t>
            </w:r>
          </w:p>
        </w:tc>
        <w:tc>
          <w:tcPr>
            <w:tcW w:type="dxa" w:w="42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지표의 표본이 최소 기준 미달 (전세가율, 구매 가능 가구 비율, 청약 전망 등)</w:t>
            </w:r>
          </w:p>
        </w:tc>
        <w:tc>
          <w:tcPr>
            <w:tcW w:type="dxa" w:w="42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리포트는 생성하되 해당 수치를 내지 않고, 판정 계산에서도 제외한 뒤 사유를 근거원장에 등재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정밀도 하향</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 표본이 최소 기준 미달</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상위 집계로 롤업하고 롤업 사실을 표기 (5.5)</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기준일 이후 정보의 혼입은 매매·전월세 양쪽에 동일하게 적용됩니다. 전세가율이 가격 판정에 직접 들어가는 이상, 전월세 계약에도 매매와 같은 규율이 적용되어야 하기 때문입니다.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 매물량 급증, 호가-실거래 갭 확대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경쟁 현장 모니터링.</w:t>
      </w:r>
      <w:r>
        <w:rPr>
          <w:rFonts w:ascii="맑은 고딕" w:cs="맑은 고딕" w:eastAsia="맑은 고딕" w:hAnsi="맑은 고딕"/>
          <w:b w:val="false"/>
          <w:bCs w:val="false"/>
          <w:i w:val="false"/>
          <w:iCs w:val="false"/>
          <w:color w:val="1A1A1A"/>
          <w:sz w:val="20"/>
          <w:szCs w:val="20"/>
        </w:rPr>
        <w:t xml:space="preserve"> 경쟁 현장의 분양가·혜택·잔여 세대는 공개 API가 없어 현장 담당자의 주기적 확인에 의존합니다. 수기 수집이라는 이유로 관리가 느슨해지지 않도록, 회차별 스냅숏을 기록하고 변화 감지를 규칙화합니다 — 분양가 2% 이상 변동, 혜택 추가·축소, 잔여 세대 20% 이상 증감이 확인되면 조기경보로 승격되며, 각 신호마다 </w:t>
      </w:r>
      <w:r>
        <w:rPr>
          <w:rFonts w:ascii="맑은 고딕" w:cs="맑은 고딕" w:eastAsia="맑은 고딕" w:hAnsi="맑은 고딕"/>
          <w:b/>
          <w:bCs/>
          <w:i w:val="false"/>
          <w:iCs w:val="false"/>
          <w:color w:val="1A1A1A"/>
          <w:sz w:val="20"/>
          <w:szCs w:val="20"/>
        </w:rPr>
        <w:t xml:space="preserve">어떤 판정을 갱신해야 하는지</w:t>
      </w:r>
      <w:r>
        <w:rPr>
          <w:rFonts w:ascii="맑은 고딕" w:cs="맑은 고딕" w:eastAsia="맑은 고딕" w:hAnsi="맑은 고딕"/>
          <w:b w:val="false"/>
          <w:bCs w:val="false"/>
          <w:i w:val="false"/>
          <w:iCs w:val="false"/>
          <w:color w:val="1A1A1A"/>
          <w:sz w:val="20"/>
          <w:szCs w:val="20"/>
        </w:rPr>
        <w:t xml:space="preserve">가 함께 지정됩니다. 마지막 수집으로부터 30일이 지나면 신선도 경고가 발생해 방치를 막습니다.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회차만 있으면 "변화 없음"이 아니라 </w:t>
      </w:r>
      <w:r>
        <w:rPr>
          <w:rFonts w:ascii="맑은 고딕" w:cs="맑은 고딕" w:eastAsia="맑은 고딕" w:hAnsi="맑은 고딕"/>
          <w:b/>
          <w:bCs/>
          <w:i w:val="false"/>
          <w:iCs w:val="false"/>
          <w:color w:val="1A1A1A"/>
          <w:sz w:val="20"/>
          <w:szCs w:val="20"/>
        </w:rPr>
        <w:t xml:space="preserve">"비교 불가"</w:t>
      </w:r>
      <w:r>
        <w:rPr>
          <w:rFonts w:ascii="맑은 고딕" w:cs="맑은 고딕" w:eastAsia="맑은 고딕" w:hAnsi="맑은 고딕"/>
          <w:b w:val="false"/>
          <w:bCs w:val="false"/>
          <w:i w:val="false"/>
          <w:iCs w:val="false"/>
          <w:color w:val="1A1A1A"/>
          <w:sz w:val="20"/>
          <w:szCs w:val="20"/>
        </w:rPr>
        <w:t xml:space="preserve">입니다. 회차 간 현장명이 일치하지 않아 짝지어지지 않는 경우도 같은 방식으로 표기됩니다.</w:t>
      </w:r>
    </w:p>
    <w:p>
      <w:pPr>
        <w:pStyle w:val="Heading3"/>
        <w:keepNext/>
        <w:spacing w:after="110" w:before="240"/>
      </w:pPr>
      <w:r>
        <w:rPr>
          <w:rFonts w:ascii="맑은 고딕" w:cs="맑은 고딕" w:eastAsia="맑은 고딕" w:hAnsi="맑은 고딕"/>
          <w:b/>
          <w:bCs/>
          <w:color w:val="5A5A5A"/>
          <w:sz w:val="20"/>
          <w:szCs w:val="20"/>
        </w:rPr>
        <w:t xml:space="preserve">5.11.3 현장 반응 피드백 — 분석을 검증하는 역방향 경로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조기경보가 외부 데이터의 변동을 추적한다면, 현장 반응 피드백은 </w:t>
      </w:r>
      <w:r>
        <w:rPr>
          <w:rFonts w:ascii="맑은 고딕" w:cs="맑은 고딕" w:eastAsia="맑은 고딕" w:hAnsi="맑은 고딕"/>
          <w:b/>
          <w:bCs/>
          <w:i w:val="false"/>
          <w:iCs w:val="false"/>
          <w:color w:val="1A1A1A"/>
          <w:sz w:val="20"/>
          <w:szCs w:val="20"/>
        </w:rPr>
        <w:t xml:space="preserve">내부 데이터 — 상담·거절 기록 — 로 분석 자체를 검증</w:t>
      </w:r>
      <w:r>
        <w:rPr>
          <w:rFonts w:ascii="맑은 고딕" w:cs="맑은 고딕" w:eastAsia="맑은 고딕" w:hAnsi="맑은 고딕"/>
          <w:b w:val="false"/>
          <w:bCs w:val="false"/>
          <w:i w:val="false"/>
          <w:iCs w:val="false"/>
          <w:color w:val="1A1A1A"/>
          <w:sz w:val="20"/>
          <w:szCs w:val="20"/>
        </w:rPr>
        <w:t xml:space="preserve">하는 경로입니다. 이 데이터는 외부에서 구매할 수 없는 당사 운영체계 고유의 검증 자산입니다.</w:t>
      </w:r>
    </w:p>
    <w:p>
      <w:pPr>
        <w:keepNext/>
        <w:spacing w:after="90" w:before="220"/>
      </w:pPr>
      <w:r>
        <w:rPr>
          <w:rFonts w:ascii="맑은 고딕" w:cs="맑은 고딕" w:eastAsia="맑은 고딕" w:hAnsi="맑은 고딕"/>
          <w:b/>
          <w:bCs/>
          <w:color w:val="1F3864"/>
          <w:sz w:val="18"/>
          <w:szCs w:val="18"/>
        </w:rPr>
        <w:t xml:space="preserve">[표 5-26] 현장 반응과 분석 판정의 정합성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3329"/>
        <w:gridCol w:w="3768"/>
      </w:tblGrid>
      <w:tr>
        <w:trPr>
          <w:cantSplit/>
          <w:tblHeader/>
        </w:trPr>
        <w:tc>
          <w:tcPr>
            <w:tcW w:type="dxa" w:w="2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신호 (제9~10장에서 축적)</w:t>
            </w:r>
          </w:p>
        </w:tc>
        <w:tc>
          <w:tcPr>
            <w:tcW w:type="dxa" w:w="33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 분석 판정</w:t>
            </w:r>
          </w:p>
        </w:tc>
        <w:tc>
          <w:tcPr>
            <w:tcW w:type="dxa" w:w="37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어긋날 경우의 조치</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 사유의 비중과 내용</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① 현재 가격 위치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갭 재산정, 총취득원가·실부담 설명 점검</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고객의 거주지·직장 분포</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② 수요 지속성 (타깃 생활권 가설)</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가중치·타깃 지역 재검토</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이탈 사유</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③ 공급·환금성 위험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물량 평가·비교 논리 갱신</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관련 질문·불신 반응</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④ 촉매 평가와 표현 등급</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 보강 또는 해당 문구 등급 하향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월 단위로 "모델 판정 대 현장 반응"의 정합성을 점검하고, 어긋나는 항목은 재검토 대상으로 지정합니다. 분석이 현장을 가르치기만 하는 것이 아니라 </w:t>
      </w:r>
      <w:r>
        <w:rPr>
          <w:rFonts w:ascii="맑은 고딕" w:cs="맑은 고딕" w:eastAsia="맑은 고딕" w:hAnsi="맑은 고딕"/>
          <w:b/>
          <w:bCs/>
          <w:i w:val="false"/>
          <w:iCs w:val="false"/>
          <w:color w:val="1A1A1A"/>
          <w:sz w:val="20"/>
          <w:szCs w:val="20"/>
        </w:rPr>
        <w:t xml:space="preserve">현장이 분석을 교정하는 양방향 구조</w:t>
      </w:r>
      <w:r>
        <w:rPr>
          <w:rFonts w:ascii="맑은 고딕" w:cs="맑은 고딕" w:eastAsia="맑은 고딕" w:hAnsi="맑은 고딕"/>
          <w:b w:val="false"/>
          <w:bCs w:val="false"/>
          <w:i w:val="false"/>
          <w:iCs w:val="false"/>
          <w:color w:val="1A1A1A"/>
          <w:sz w:val="20"/>
          <w:szCs w:val="20"/>
        </w:rPr>
        <w:t xml:space="preserve"> — 이것이 폐쇄형 학습(4.4)의 분석 측 구현입니다.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그리고 본 장에 기술된 것은 </w:t>
      </w:r>
      <w:r>
        <w:rPr>
          <w:rFonts w:ascii="맑은 고딕" w:cs="맑은 고딕" w:eastAsia="맑은 고딕" w:hAnsi="맑은 고딕"/>
          <w:b/>
          <w:bCs/>
          <w:i w:val="false"/>
          <w:iCs w:val="false"/>
          <w:color w:val="1A1A1A"/>
          <w:sz w:val="20"/>
          <w:szCs w:val="20"/>
        </w:rPr>
        <w:t xml:space="preserve">설계도가 아니라 이미 작동하는 소프트웨어</w:t>
      </w:r>
      <w:r>
        <w:rPr>
          <w:rFonts w:ascii="맑은 고딕" w:cs="맑은 고딕" w:eastAsia="맑은 고딕" w:hAnsi="맑은 고딕"/>
          <w:b w:val="false"/>
          <w:bCs w:val="false"/>
          <w:i w:val="false"/>
          <w:iCs w:val="false"/>
          <w:color w:val="1A1A1A"/>
          <w:sz w:val="20"/>
          <w:szCs w:val="20"/>
        </w:rPr>
        <w:t xml:space="preserve">입니다. 15개 레이어 중 13개가 연동되어 있고, 조정계수 교정·백테스트·근거원장·예측 이력 장부가 실행 가능한 명령으로 존재합니다. 무엇이 구현되었고 무엇이 아직 아닌지는 부록 F에 그대로 적었습니다 — 제안서가 스스로에게 적용하지 않는 규율을 분석에만 요구할 수는 없기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생성 방식.</w:t>
      </w:r>
      <w:r>
        <w:rPr>
          <w:rFonts w:ascii="맑은 고딕" w:cs="맑은 고딕" w:eastAsia="맑은 고딕" w:hAnsi="맑은 고딕"/>
          <w:b w:val="false"/>
          <w:bCs w:val="false"/>
          <w:i w:val="false"/>
          <w:iCs w:val="false"/>
          <w:color w:val="1A1A1A"/>
          <w:sz w:val="20"/>
          <w:szCs w:val="20"/>
        </w:rPr>
        <w:t xml:space="preserve"> 위 산출물은 분석 결과에서 </w:t>
      </w:r>
      <w:r>
        <w:rPr>
          <w:rFonts w:ascii="맑은 고딕" w:cs="맑은 고딕" w:eastAsia="맑은 고딕" w:hAnsi="맑은 고딕"/>
          <w:b/>
          <w:bCs/>
          <w:i w:val="false"/>
          <w:iCs w:val="false"/>
          <w:color w:val="1A1A1A"/>
          <w:sz w:val="20"/>
          <w:szCs w:val="20"/>
        </w:rPr>
        <w:t xml:space="preserve">직접 생성</w:t>
      </w:r>
      <w:r>
        <w:rPr>
          <w:rFonts w:ascii="맑은 고딕" w:cs="맑은 고딕" w:eastAsia="맑은 고딕" w:hAnsi="맑은 고딕"/>
          <w:b w:val="false"/>
          <w:bCs w:val="false"/>
          <w:i w:val="false"/>
          <w:iCs w:val="false"/>
          <w:color w:val="1A1A1A"/>
          <w:sz w:val="20"/>
          <w:szCs w:val="20"/>
        </w:rPr>
        <w:t xml:space="preserve">됩니다. 사람이 리포트를 읽고 옮겨 적는 방식이 아니므로, 리포트의 수치가 갱신되면 상담 자료도 같은 근거로 함께 갱신되며 둘이 어긋날 경로가 없습니다. 생성된 모든 문장은 표현 린트(6.4)를 통과해야 하고, 차단된 문장은 산출물에 실리지 않습니다.</w:t>
      </w:r>
    </w:p>
    <w:p>
      <w:pPr>
        <w:keepNext/>
        <w:spacing w:after="90" w:before="220"/>
      </w:pPr>
      <w:r>
        <w:rPr>
          <w:rFonts w:ascii="맑은 고딕" w:cs="맑은 고딕" w:eastAsia="맑은 고딕" w:hAnsi="맑은 고딕"/>
          <w:b/>
          <w:bCs/>
          <w:color w:val="1F3864"/>
          <w:sz w:val="18"/>
          <w:szCs w:val="18"/>
        </w:rPr>
        <w:t xml:space="preserve">[표 6-4-1] 질문 축별 답변 생성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961"/>
        <w:gridCol w:w="352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4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답변이 생성되는 조건</w:t>
            </w:r>
          </w:p>
        </w:tc>
        <w:tc>
          <w:tcPr>
            <w:tcW w:type="dxa" w:w="35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조건 미충족 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Q1 분양가</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밴드가 산출됨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표본 부족"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Q2 수요</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또는 실부담·청약 중 하나 이상 산출됨</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미수집"</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Q3 공급</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목록과 현장 세대수 입력됨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 미입력"</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Q4 호재</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등록 계획 중 </w:t>
            </w:r>
            <w:r>
              <w:rPr>
                <w:rFonts w:ascii="맑은 고딕" w:cs="맑은 고딕" w:eastAsia="맑은 고딕" w:hAnsi="맑은 고딕"/>
                <w:b/>
                <w:bCs/>
                <w:color w:val="1A1A1A"/>
                <w:sz w:val="18"/>
                <w:szCs w:val="18"/>
              </w:rPr>
              <w:t xml:space="preserve">검토 단계를 넘은 것이 하나 이상</w:t>
            </w:r>
            <w:r>
              <w:rPr>
                <w:rFonts w:ascii="맑은 고딕" w:cs="맑은 고딕" w:eastAsia="맑은 고딕" w:hAnsi="맑은 고딕"/>
                <w:color w:val="1A1A1A"/>
                <w:sz w:val="18"/>
                <w:szCs w:val="18"/>
              </w:rPr>
              <w:t xml:space="preserve">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"모두 검토 단계로 확정적 언급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Q5 환금성</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산출됨 (비교단지 세대수 필요)</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미산출"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Q6 시점</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공급·계획·경보 중 하나 이상의 신호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"판단 시점을 지지할 근거 없음"</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답하지 않는 것이 설계의 핵심입니다.</w:t>
      </w:r>
      <w:r>
        <w:rPr>
          <w:rFonts w:ascii="맑은 고딕" w:cs="맑은 고딕" w:eastAsia="맑은 고딕" w:hAnsi="맑은 고딕"/>
          <w:b w:val="false"/>
          <w:bCs w:val="false"/>
          <w:i w:val="false"/>
          <w:iCs w:val="false"/>
          <w:color w:val="1A1A1A"/>
          <w:sz w:val="20"/>
          <w:szCs w:val="20"/>
        </w:rPr>
        <w:t xml:space="preserve"> 근거가 산출되지 않은 축에서 그럴듯한 문장을 만들어 내면, 상담원은 근거 없는 말을 손에 쥔 채 고객을 만나게 됩니다. 그 축은 답변 대신 </w:t>
      </w:r>
      <w:r>
        <w:rPr>
          <w:rFonts w:ascii="맑은 고딕" w:cs="맑은 고딕" w:eastAsia="맑은 고딕" w:hAnsi="맑은 고딕"/>
          <w:b/>
          <w:bCs/>
          <w:i w:val="false"/>
          <w:iCs w:val="false"/>
          <w:color w:val="1A1A1A"/>
          <w:sz w:val="20"/>
          <w:szCs w:val="20"/>
        </w:rPr>
        <w:t xml:space="preserve">"확인 후 회신"</w:t>
      </w:r>
      <w:r>
        <w:rPr>
          <w:rFonts w:ascii="맑은 고딕" w:cs="맑은 고딕" w:eastAsia="맑은 고딕" w:hAnsi="맑은 고딕"/>
          <w:b w:val="false"/>
          <w:bCs w:val="false"/>
          <w:i w:val="false"/>
          <w:iCs w:val="false"/>
          <w:color w:val="1A1A1A"/>
          <w:sz w:val="20"/>
          <w:szCs w:val="20"/>
        </w:rPr>
        <w:t xml:space="preserve"> 원칙이 지정되며, 근거가 확보되면 재생성됩니다.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규율이 거절 대응에도 적용됩니다. 예컨대 가격 거절에 대한 대응 논리는 Q1의 근거에 기대므로, Q1이 답변 불가 상태라면 대응 문구도 "사실 기반 대응 불가 — 확인 후 회신"으로 낮춰집니다. 근거 없는 방어 논리를 상담원에게 주지 않기 위해서입니다.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A.5 수집 경로별 통제 규칙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수집 단계에서 적용되는 공통 규칙입니다. 이 규칙들은 분석 품질이 아니라 </w:t>
      </w:r>
      <w:r>
        <w:rPr>
          <w:rFonts w:ascii="맑은 고딕" w:cs="맑은 고딕" w:eastAsia="맑은 고딕" w:hAnsi="맑은 고딕"/>
          <w:b/>
          <w:bCs/>
          <w:i w:val="false"/>
          <w:iCs w:val="false"/>
          <w:color w:val="1A1A1A"/>
          <w:sz w:val="20"/>
          <w:szCs w:val="20"/>
        </w:rPr>
        <w:t xml:space="preserve">재현 가능성과 자격증명 보호</w:t>
      </w:r>
      <w:r>
        <w:rPr>
          <w:rFonts w:ascii="맑은 고딕" w:cs="맑은 고딕" w:eastAsia="맑은 고딕" w:hAnsi="맑은 고딕"/>
          <w:b w:val="false"/>
          <w:bCs w:val="false"/>
          <w:i w:val="false"/>
          <w:iCs w:val="false"/>
          <w:color w:val="1A1A1A"/>
          <w:sz w:val="20"/>
          <w:szCs w:val="20"/>
        </w:rPr>
        <w:t xml:space="preserve">를 위한 것입니다.</w:t>
      </w:r>
    </w:p>
    <w:p>
      <w:pPr>
        <w:keepNext/>
        <w:spacing w:after="90" w:before="220"/>
      </w:pPr>
      <w:r>
        <w:rPr>
          <w:rFonts w:ascii="맑은 고딕" w:cs="맑은 고딕" w:eastAsia="맑은 고딕" w:hAnsi="맑은 고딕"/>
          <w:b/>
          <w:bCs/>
          <w:color w:val="1F3864"/>
          <w:sz w:val="18"/>
          <w:szCs w:val="18"/>
        </w:rPr>
        <w:t xml:space="preserve">[표 A-5] 수집 공통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응답 보관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API 응답을 원문 그대로 캐시에 저장. 동일 요청은 재호출하지 않으며, 네트워크 없이 캐시만으로 재실행하여 </w:t>
            </w:r>
            <w:r>
              <w:rPr>
                <w:rFonts w:ascii="맑은 고딕" w:cs="맑은 고딕" w:eastAsia="맑은 고딕" w:hAnsi="맑은 고딕"/>
                <w:b/>
                <w:bCs/>
                <w:color w:val="1A1A1A"/>
                <w:sz w:val="18"/>
                <w:szCs w:val="18"/>
              </w:rPr>
              <w:t xml:space="preserve">같은 리포트를 재현</w:t>
            </w:r>
            <w:r>
              <w:rPr>
                <w:rFonts w:ascii="맑은 고딕" w:cs="맑은 고딕" w:eastAsia="맑은 고딕" w:hAnsi="맑은 고딕"/>
                <w:color w:val="1A1A1A"/>
                <w:sz w:val="18"/>
                <w:szCs w:val="18"/>
              </w:rPr>
              <w:t xml:space="preserve">할 수 있음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이력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출처명·요청 시각·응답 SHA-256 해시를 기록하여 근거원장(5.9.2)의 입력으로 사용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자격증명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인증키는 이력·산출물 어디에도 기록되지 않음 (마스킹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재시도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네트워크 오류 시 지수 백오프로 재시도하며, 실패 시 해당 레이어만 건너뛰고 '미수집'으로 표기 — 한 레이어의 장애가 전체 분석을 중단시키지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차단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 이후에 발생한 관측은 수집 단계와 분석 단계 양쪽에서 배제 (5.10.2)</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7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청약경쟁률을 타입별 구간과 미달 위험 등급으로 제시하는 전망 모듈 (부록 E.1)</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적중률</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구간이 사후 실적을 포함한 비율. 예측 신뢰성의 상시 관리 지표 (부록 E.2)</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전망 산출을 발행 시점에 봉인 저장하고 실적과 대조하는 검증 기록 (부록 E.3)</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㎡단가를 매매 ㎡단가로 나눈 비율. 가격 하락 시의 완충 두께로 해석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(5.5)</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거래를 연식·층·거래시점 차이만큼 보정하는 비율. 실거래 회귀로 추정하되 검증 통과 시에만 교체 (5.4.6)</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기간으로 추정한 계수를 뒤 기간에 적용해 실제로 개선되는지 확인하는 절차 (5.4.6)</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가격대별로 밴드 위치·수요·청약·미달 위험을 산출하고 규칙에 따라 권고하는 모듈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미산출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표본이 최소 기준에 미달하여 수치를 제시하지 않은 상태. 0이나 공란과 구분하여 표기 (5.4.5)</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E. 예측 검증 체계 (Forecast Governance)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부록은 제5장의 전망 산출물(가격 시나리오, 청약 수요 전망)이 "검증 가능한 예측"이 되기 위한 기술 명세와 관리 절차를 정의합니다. 원칙은 하나입니다 — </w:t>
      </w:r>
      <w:r>
        <w:rPr>
          <w:rFonts w:ascii="맑은 고딕" w:cs="맑은 고딕" w:eastAsia="맑은 고딕" w:hAnsi="맑은 고딕"/>
          <w:b/>
          <w:bCs/>
          <w:i w:val="false"/>
          <w:iCs w:val="false"/>
          <w:color w:val="1A1A1A"/>
          <w:sz w:val="20"/>
          <w:szCs w:val="20"/>
        </w:rPr>
        <w:t xml:space="preserve">당사의 전망은 발행 후 수정되지 않고, 실적과 대조되어, 그 성적이 발주처에 공개됩니다.</w:t>
      </w:r>
    </w:p>
    <w:p>
      <w:pPr>
        <w:pStyle w:val="Heading3"/>
        <w:keepNext/>
        <w:spacing w:after="110" w:before="240"/>
      </w:pPr>
      <w:r>
        <w:rPr>
          <w:rFonts w:ascii="맑은 고딕" w:cs="맑은 고딕" w:eastAsia="맑은 고딕" w:hAnsi="맑은 고딕"/>
          <w:b/>
          <w:bCs/>
          <w:color w:val="5A5A5A"/>
          <w:sz w:val="20"/>
          <w:szCs w:val="20"/>
        </w:rPr>
        <w:t xml:space="preserve">E.1 청약 수요 전망 모듈 기술 명세</w:t>
      </w:r>
    </w:p>
    <w:p>
      <w:pPr>
        <w:keepNext/>
        <w:spacing w:after="90" w:before="220"/>
      </w:pPr>
      <w:r>
        <w:rPr>
          <w:rFonts w:ascii="맑은 고딕" w:cs="맑은 고딕" w:eastAsia="맑은 고딕" w:hAnsi="맑은 고딕"/>
          <w:b/>
          <w:bCs/>
          <w:color w:val="1F3864"/>
          <w:sz w:val="18"/>
          <w:szCs w:val="18"/>
        </w:rPr>
        <w:t xml:space="preserve">[표 E-1] 모듈 구성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명세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청약 이력(청약홈 공개 데이터): 타입별 경쟁률, 순위 내 마감 여부, 미달, 가점 커트라인, 무순위 전환 이력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피처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갭(분양가 대비 주변 시세, 5.5), 동시 분양·입주 파이프라인(L13), 수요 기반(C1·C2), 미분양 재고·소진 속도(L12), 청약 제도(규제지역·전매·가점제 비중), 세대수·타입 구성, 브랜드 등급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전체·타입별 예상 경쟁률 구간, 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 레코드(현장, 타입, 예측 구간, 미달 위험, 모델 버전, 입력 데이터 기준일, 발행 시점)를 예측 이력 장부(E.3)에 봉인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분리 백테스트(미래 정보 누출 방지, 5.4.2) 및 실적 확정 후 자동 대조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 등급 고정(5.9.1). 조건·범위 없이 단일 수치로 광고·상담에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E.2 예측 구간의 적중률 관리</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구간 예측은 산출 방식이 고정되고 사후 성적이 측정될 때만 의미를 갖습니다.</w:t>
      </w:r>
    </w:p>
    <w:p>
      <w:pPr>
        <w:keepNext/>
        <w:spacing w:after="90" w:before="220"/>
      </w:pPr>
      <w:r>
        <w:rPr>
          <w:rFonts w:ascii="맑은 고딕" w:cs="맑은 고딕" w:eastAsia="맑은 고딕" w:hAnsi="맑은 고딕"/>
          <w:b/>
          <w:bCs/>
          <w:color w:val="1F3864"/>
          <w:sz w:val="18"/>
          <w:szCs w:val="18"/>
        </w:rPr>
        <w:t xml:space="preserve">[표 E-2] 적중률 관리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3"/>
        <w:gridCol w:w="7815"/>
      </w:tblGrid>
      <w:tr>
        <w:trPr>
          <w:cantSplit/>
          <w:tblHeader/>
        </w:trPr>
        <w:tc>
          <w:tcPr>
            <w:tcW w:type="dxa" w:w="18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산출 방식</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모델별로 단일 방식을 문서로 고정하며, 방식 변경 시 버전과 변경 사유를 기록</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적중률(Coverage) 정의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신뢰수준 X%로 발행한 구간이 사후 실적을 포함한 비율. 목표: 명목 수준과의 정합 (예: 80% 구간은 사후적으로 약 80%를 포함해야 함)</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 주기</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확정 건 누적 기준으로 분기별 산출, 연 단위 총괄</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미달 시 조치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구간 폭 재보정 ② 해당 세그먼트의 수치 제시 중단 및 정성 등급 전환(5.4.5) ③ 원인 분석 후 모델 재검토</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보고</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성적표를 현장 진단리포트의 모델 검증 면에 병기</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E.3 예측 이력 장부</w:t>
      </w:r>
    </w:p>
    <w:p>
      <w:pPr>
        <w:keepNext/>
        <w:spacing w:after="90" w:before="220"/>
      </w:pPr>
      <w:r>
        <w:rPr>
          <w:rFonts w:ascii="맑은 고딕" w:cs="맑은 고딕" w:eastAsia="맑은 고딕" w:hAnsi="맑은 고딕"/>
          <w:b/>
          <w:bCs/>
          <w:color w:val="1F3864"/>
          <w:sz w:val="18"/>
          <w:szCs w:val="18"/>
        </w:rPr>
        <w:t xml:space="preserve">[표 E-3] 장부 운영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저장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FORECAST 산출(가격 시나리오, 청약 전망)은 발행 시점에 전망값·전제·모델 버전·기준일과 함께 저장되며, 발행 후 수정·삭제하지 않음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실적(실거래, 청약 결과) 확정 시 전망 대비 결과를 자동 대조하여 장부에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성적 공개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전망 대비 실적 총괄표를 발주처 요청 시 제공. 신규 제안 시 검증 증빙으로 활용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열람권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발주처는 자기 현장에 관한 전망 이력과 대조 결과의 열람권을 가짐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결과의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빗나간 전망도 장부에서 제외하지 않음. 원인 분석과 모델 개선 이력을 함께 기록</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장부의 목적은 무결한 예측 성적의 과시가 아닙니다. 전망은 빗나갈 수 있으며, 중요한 것은 </w:t>
      </w:r>
      <w:r>
        <w:rPr>
          <w:rFonts w:ascii="맑은 고딕" w:cs="맑은 고딕" w:eastAsia="맑은 고딕" w:hAnsi="맑은 고딕"/>
          <w:b/>
          <w:bCs/>
          <w:i w:val="false"/>
          <w:iCs w:val="false"/>
          <w:color w:val="1A1A1A"/>
          <w:sz w:val="20"/>
          <w:szCs w:val="20"/>
        </w:rPr>
        <w:t xml:space="preserve">빗나감이 은폐되지 않고 측정·개선된다는 사실을 발주처가 확인할 수 있는 구조</w:t>
      </w:r>
      <w:r>
        <w:rPr>
          <w:rFonts w:ascii="맑은 고딕" w:cs="맑은 고딕" w:eastAsia="맑은 고딕" w:hAnsi="맑은 고딕"/>
          <w:b w:val="false"/>
          <w:bCs w:val="false"/>
          <w:i w:val="false"/>
          <w:iCs w:val="false"/>
          <w:color w:val="1A1A1A"/>
          <w:sz w:val="20"/>
          <w:szCs w:val="20"/>
        </w:rPr>
        <w:t xml:space="preserve">입니다. 이 구조가 본 제안서의 모든 전망 서술(중요 전제, 5.7, 5.9)을 선언이 아닌 검증 가능한 약속으로 만듭니다.</w:t>
      </w:r>
    </w:p>
    <w:p>
      <w:pPr>
        <w:pStyle w:val="Heading3"/>
        <w:keepNext/>
        <w:spacing w:after="110" w:before="240"/>
      </w:pPr>
      <w:r>
        <w:rPr>
          <w:rFonts w:ascii="맑은 고딕" w:cs="맑은 고딕" w:eastAsia="맑은 고딕" w:hAnsi="맑은 고딕"/>
          <w:b/>
          <w:bCs/>
          <w:color w:val="5A5A5A"/>
          <w:sz w:val="20"/>
          <w:szCs w:val="20"/>
        </w:rPr>
        <w:t xml:space="preserve">E.4 봉인의 감사 — "수정하지 않는다"를 검증 가능하게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"발행 후 수정하지 않는다"는 약속은 그 자체가 검증 대상입니다. 규정에 그렇게 적혀 있다는 것과 실제로 수정이 불가능하다는 것은 다른 상태입니다.</w:t>
      </w:r>
    </w:p>
    <w:p>
      <w:pPr>
        <w:keepNext/>
        <w:spacing w:after="90" w:before="220"/>
      </w:pPr>
      <w:r>
        <w:rPr>
          <w:rFonts w:ascii="맑은 고딕" w:cs="맑은 고딕" w:eastAsia="맑은 고딕" w:hAnsi="맑은 고딕"/>
          <w:b/>
          <w:bCs/>
          <w:color w:val="1F3864"/>
          <w:sz w:val="18"/>
          <w:szCs w:val="18"/>
        </w:rPr>
        <w:t xml:space="preserve">[표 E-4] 장부 감사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무결성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저장된 모든 전망의 본문 해시를 </w:t>
            </w:r>
            <w:r>
              <w:rPr>
                <w:rFonts w:ascii="맑은 고딕" w:cs="맑은 고딕" w:eastAsia="맑은 고딕" w:hAnsi="맑은 고딕"/>
                <w:b/>
                <w:bCs/>
                <w:color w:val="1A1A1A"/>
                <w:sz w:val="18"/>
                <w:szCs w:val="18"/>
              </w:rPr>
              <w:t xml:space="preserve">전수 재계산</w:t>
            </w:r>
            <w:r>
              <w:rPr>
                <w:rFonts w:ascii="맑은 고딕" w:cs="맑은 고딕" w:eastAsia="맑은 고딕" w:hAnsi="맑은 고딕"/>
                <w:color w:val="1A1A1A"/>
                <w:sz w:val="18"/>
                <w:szCs w:val="18"/>
              </w:rPr>
              <w:t xml:space="preserve">하여 저장 시점의 값과 대조. 어긋나면 변조 의심으로 보고</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불변 보장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데이터베이스 수준의 수정·삭제 차단 장치가 </w:t>
            </w:r>
            <w:r>
              <w:rPr>
                <w:rFonts w:ascii="맑은 고딕" w:cs="맑은 고딕" w:eastAsia="맑은 고딕" w:hAnsi="맑은 고딕"/>
                <w:b/>
                <w:bCs/>
                <w:color w:val="1A1A1A"/>
                <w:sz w:val="18"/>
                <w:szCs w:val="18"/>
              </w:rPr>
              <w:t xml:space="preserve">선언되어 있는지가 아니라 실제로 작동하는지</w:t>
            </w:r>
            <w:r>
              <w:rPr>
                <w:rFonts w:ascii="맑은 고딕" w:cs="맑은 고딕" w:eastAsia="맑은 고딕" w:hAnsi="맑은 고딕"/>
                <w:color w:val="1A1A1A"/>
                <w:sz w:val="18"/>
                <w:szCs w:val="18"/>
              </w:rPr>
              <w:t xml:space="preserve">를, 수정 시도를 직접 실행해 확인 (시도는 되돌림)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대조 상태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전망별 실적 확정 여부와 적중 여부를 함께 보고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감사는 발주처가 요청하면 언제든 실행하여 결과를 그대로 제출합니다. 무결성이나 불변 보장 중 하나라도 깨져 있으면 감사는 실패로 종료되며, 그 사실을 숨기지 않습니다.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동일 분석의 재실행에 대하여.</w:t>
      </w:r>
      <w:r>
        <w:rPr>
          <w:rFonts w:ascii="맑은 고딕" w:cs="맑은 고딕" w:eastAsia="맑은 고딕" w:hAnsi="맑은 고딕"/>
          <w:b w:val="false"/>
          <w:bCs w:val="false"/>
          <w:i w:val="false"/>
          <w:iCs w:val="false"/>
          <w:color w:val="1A1A1A"/>
          <w:sz w:val="20"/>
          <w:szCs w:val="20"/>
        </w:rPr>
        <w:t xml:space="preserve"> 같은 입력으로 같은 분석을 다시 실행하면 동일한 전망이 산출됩니다. 이때 새 기록을 추가하지 않고 </w:t>
      </w:r>
      <w:r>
        <w:rPr>
          <w:rFonts w:ascii="맑은 고딕" w:cs="맑은 고딕" w:eastAsia="맑은 고딕" w:hAnsi="맑은 고딕"/>
          <w:b/>
          <w:bCs/>
          <w:i w:val="false"/>
          <w:iCs w:val="false"/>
          <w:color w:val="1A1A1A"/>
          <w:sz w:val="20"/>
          <w:szCs w:val="20"/>
        </w:rPr>
        <w:t xml:space="preserve">기존 봉인을 그대로 참조</w:t>
      </w:r>
      <w:r>
        <w:rPr>
          <w:rFonts w:ascii="맑은 고딕" w:cs="맑은 고딕" w:eastAsia="맑은 고딕" w:hAnsi="맑은 고딕"/>
          <w:b w:val="false"/>
          <w:bCs w:val="false"/>
          <w:i w:val="false"/>
          <w:iCs w:val="false"/>
          <w:color w:val="1A1A1A"/>
          <w:sz w:val="20"/>
          <w:szCs w:val="20"/>
        </w:rPr>
        <w:t xml:space="preserve">합니다 — 같은 내용에 두 개의 장부 항목이 생기면 적중률 통계가 왜곡되기 때문입니다. 구간·모델 버전·기준일 중 하나라도 달라지면 별개의 전망으로 새로 봉인됩니다.</w:t>
      </w:r>
    </w:p>
    <w:p>
      <w:pPr>
        <w:pStyle w:val="Heading3"/>
        <w:keepNext/>
        <w:spacing w:after="110" w:before="240"/>
      </w:pPr>
      <w:r>
        <w:rPr>
          <w:rFonts w:ascii="맑은 고딕" w:cs="맑은 고딕" w:eastAsia="맑은 고딕" w:hAnsi="맑은 고딕"/>
          <w:b/>
          <w:bCs/>
          <w:color w:val="5A5A5A"/>
          <w:sz w:val="20"/>
          <w:szCs w:val="20"/>
        </w:rPr>
        <w:t xml:space="preserve">E.5 조정계수 교정의 검증 기록</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5.4.6의 교정 절차는 실행할 때마다 다음을 기록으로 남깁니다. 계수가 바뀌었든 바뀌지 않았든 동일하게 남깁니다.</w:t>
      </w:r>
    </w:p>
    <w:p>
      <w:pPr>
        <w:keepNext/>
        <w:spacing w:after="90" w:before="220"/>
      </w:pPr>
      <w:r>
        <w:rPr>
          <w:rFonts w:ascii="맑은 고딕" w:cs="맑은 고딕" w:eastAsia="맑은 고딕" w:hAnsi="맑은 고딕"/>
          <w:b/>
          <w:bCs/>
          <w:color w:val="1F3864"/>
          <w:sz w:val="18"/>
          <w:szCs w:val="18"/>
        </w:rPr>
        <w:t xml:space="preserve">[표 E-5] 교정 실행 기록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결과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관측 수, 설명력, 변수별 추정치·표준오차·유의성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게이트 판정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계수별 채택·유지 여부와 그 사유 (표본·유의성·부호·범위 중 무엇에 걸렸는가)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학습·검증 구간의 표본 수, 검증 구간의 조정 후 잔차 분산 변화율, 채택 기준 대비 결과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계수와 후보 계수의 백테스트 적중률 (안전장치, 채택 기준 아님)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계수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채택된 계수 값과 출처 표기 ('초기값(미교정)' 또는 '실데이터 교정값')</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기록의 존재 이유는 교정의 성공을 보여주는 것이 아니라, </w:t>
      </w:r>
      <w:r>
        <w:rPr>
          <w:rFonts w:ascii="맑은 고딕" w:cs="맑은 고딕" w:eastAsia="맑은 고딕" w:hAnsi="맑은 고딕"/>
          <w:b/>
          <w:bCs/>
          <w:i w:val="false"/>
          <w:iCs w:val="false"/>
          <w:color w:val="1A1A1A"/>
          <w:sz w:val="20"/>
          <w:szCs w:val="20"/>
        </w:rPr>
        <w:t xml:space="preserve">교정이 기각되었을 때 그 사실이 남게 하는 것</w:t>
      </w:r>
      <w:r>
        <w:rPr>
          <w:rFonts w:ascii="맑은 고딕" w:cs="맑은 고딕" w:eastAsia="맑은 고딕" w:hAnsi="맑은 고딕"/>
          <w:b w:val="false"/>
          <w:bCs w:val="false"/>
          <w:i w:val="false"/>
          <w:iCs w:val="false"/>
          <w:color w:val="1A1A1A"/>
          <w:sz w:val="20"/>
          <w:szCs w:val="20"/>
        </w:rPr>
        <w:t xml:space="preserve">입니다. 기각된 교정이 조용히 사라지면 "계수가 검증되었다"는 인상만 남고 검증의 실질은 사라집니다.</w:t>
      </w:r>
    </w:p>
    <w:p>
      <w:pPr>
        <w:pStyle w:val="Heading2"/>
        <w:keepNext/>
        <w:spacing w:after="140" w:before="300"/>
      </w:pPr>
      <w:r>
        <w:rPr>
          <w:rFonts w:ascii="맑은 고딕" w:cs="맑은 고딕" w:eastAsia="맑은 고딕" w:hAnsi="맑은 고딕"/>
          <w:b/>
          <w:bCs/>
          <w:color w:val="1A1A1A"/>
          <w:sz w:val="23"/>
          <w:szCs w:val="23"/>
        </w:rPr>
        <w:t xml:space="preserve">부록 F. 구현 현황과 검증 상태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제안서는 통상 "무엇을 하겠다"를 말합니다. 본 부록은 그중 </w:t>
      </w:r>
      <w:r>
        <w:rPr>
          <w:rFonts w:ascii="맑은 고딕" w:cs="맑은 고딕" w:eastAsia="맑은 고딕" w:hAnsi="맑은 고딕"/>
          <w:b/>
          <w:bCs/>
          <w:i w:val="false"/>
          <w:iCs w:val="false"/>
          <w:color w:val="1A1A1A"/>
          <w:sz w:val="20"/>
          <w:szCs w:val="20"/>
        </w:rPr>
        <w:t xml:space="preserve">무엇이 이미 작동하고 있으며, 무엇이 아직 아닌지</w:t>
      </w:r>
      <w:r>
        <w:rPr>
          <w:rFonts w:ascii="맑은 고딕" w:cs="맑은 고딕" w:eastAsia="맑은 고딕" w:hAnsi="맑은 고딕"/>
          <w:b w:val="false"/>
          <w:bCs w:val="false"/>
          <w:i w:val="false"/>
          <w:iCs w:val="false"/>
          <w:color w:val="1A1A1A"/>
          <w:sz w:val="20"/>
          <w:szCs w:val="20"/>
        </w:rPr>
        <w:t xml:space="preserve">를 구분합니다. 분석에 요구하는 규율(5.9.1의 LIMITATION 등급, 5.10의 커버리지 사전 공개)을 제안서 자신에게도 적용한 것입니다.</w:t>
      </w:r>
    </w:p>
    <w:p>
      <w:pPr>
        <w:pStyle w:val="Heading3"/>
        <w:keepNext/>
        <w:spacing w:after="110" w:before="240"/>
      </w:pPr>
      <w:r>
        <w:rPr>
          <w:rFonts w:ascii="맑은 고딕" w:cs="맑은 고딕" w:eastAsia="맑은 고딕" w:hAnsi="맑은 고딕"/>
          <w:b/>
          <w:bCs/>
          <w:color w:val="5A5A5A"/>
          <w:sz w:val="20"/>
          <w:szCs w:val="20"/>
        </w:rPr>
        <w:t xml:space="preserve">F.1 구현 상태</w:t>
      </w:r>
    </w:p>
    <w:p>
      <w:pPr>
        <w:keepNext/>
        <w:spacing w:after="90" w:before="220"/>
      </w:pPr>
      <w:r>
        <w:rPr>
          <w:rFonts w:ascii="맑은 고딕" w:cs="맑은 고딕" w:eastAsia="맑은 고딕" w:hAnsi="맑은 고딕"/>
          <w:b/>
          <w:bCs/>
          <w:color w:val="1F3864"/>
          <w:sz w:val="18"/>
          <w:szCs w:val="18"/>
        </w:rPr>
        <w:t xml:space="preserve">[표 F-1] 제5장 구성요소별 구현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3"/>
        <w:gridCol w:w="3111"/>
        <w:gridCol w:w="4174"/>
      </w:tblGrid>
      <w:tr>
        <w:trPr>
          <w:cantSplit/>
          <w:tblHeader/>
        </w:trPr>
        <w:tc>
          <w:tcPr>
            <w:tcW w:type="dxa" w:w="23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31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상태</w:t>
            </w:r>
          </w:p>
        </w:tc>
        <w:tc>
          <w:tcPr>
            <w:tcW w:type="dxa" w:w="41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15개 레이어 수집</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13개 연동</w:t>
            </w:r>
            <w:r>
              <w:rPr>
                <w:rFonts w:ascii="맑은 고딕" w:cs="맑은 고딕" w:eastAsia="맑은 고딕" w:hAnsi="맑은 고딕"/>
                <w:color w:val="1A1A1A"/>
                <w:sz w:val="18"/>
                <w:szCs w:val="18"/>
              </w:rPr>
              <w:t xml:space="preserve"> (L6 유동인구·L10 카드소비 제외)</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커버리지표가 실행 결과로부터 자동 생성</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밴드</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구간별 밴드, 표본 미달 시 롤업 표기</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기반 하방 점검</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전세가율·추세·전환율·충당율, 갱신 계약 제외</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구간·미달 위험, 표본 5건 미만 시 정성 전환</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시뮬레이션</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 시나리오별 부담·구매 가능 가구 비율</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 판정과 규칙 기반 권고</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 인허가 교차검증</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실현률 가중, 시군구 실적 대조</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엔진·촉매카드</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단계·예산 확보율 기반 광고 취급 등급</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조기경보·경쟁 현장 모니터링</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스냅숏 비교, 신선도 경고</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산출물 (제6장)</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메시지맵·근거카드·거절 대응, 근거 없는 축은 답변 미생성</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반응 피드백</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사유·방문객 거주지 vs 4개 판정 정합성</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4개 독립 판정</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방향·강도·신뢰도·변화의 4속성</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린트 게이트</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금지 표현 차단, FORECAST 등급 상한 강제</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 절로 납품, 미산출 항목 포함 등재</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장부·감사</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해시 전수 재계산 + 불변 장치 실동작 확인</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백테스트·드리프트 감시</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운영과 동일 함수 호출</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 교정</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추정 + 홀드아웃 검증, 통과 시에만 교체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F.2 아직 확정되지 않은 것</w:t>
      </w:r>
    </w:p>
    <w:p>
      <w:pPr>
        <w:keepNext/>
        <w:spacing w:after="90" w:before="220"/>
      </w:pPr>
      <w:r>
        <w:rPr>
          <w:rFonts w:ascii="맑은 고딕" w:cs="맑은 고딕" w:eastAsia="맑은 고딕" w:hAnsi="맑은 고딕"/>
          <w:b/>
          <w:bCs/>
          <w:color w:val="1F3864"/>
          <w:sz w:val="18"/>
          <w:szCs w:val="18"/>
        </w:rPr>
        <w:t xml:space="preserve">[표 F-2] 미완료 항목과 해소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5322"/>
        <w:gridCol w:w="2779"/>
      </w:tblGrid>
      <w:tr>
        <w:trPr>
          <w:cantSplit/>
          <w:tblHeader/>
        </w:trPr>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53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77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 조건</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조정계수(연식·층·시점)</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교정 </w:t>
            </w:r>
            <w:r>
              <w:rPr>
                <w:rFonts w:ascii="맑은 고딕" w:cs="맑은 고딕" w:eastAsia="맑은 고딕" w:hAnsi="맑은 고딕"/>
                <w:b/>
                <w:bCs/>
                <w:color w:val="1A1A1A"/>
                <w:sz w:val="18"/>
                <w:szCs w:val="18"/>
              </w:rPr>
              <w:t xml:space="preserve">엔진</w:t>
            </w:r>
            <w:r>
              <w:rPr>
                <w:rFonts w:ascii="맑은 고딕" w:cs="맑은 고딕" w:eastAsia="맑은 고딕" w:hAnsi="맑은 고딕"/>
                <w:color w:val="1A1A1A"/>
                <w:sz w:val="18"/>
                <w:szCs w:val="18"/>
              </w:rPr>
              <w:t xml:space="preserve">은 구현. 실현장 데이터로 교정을 실행하기 전까지는 초기값이며, 그 사실이 리포트 모델 카드에 표기됨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데이터 확보 후 교정 실행</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드라이버 계수</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추세 지속률·공급 탄력성·금리 탄력성은 문헌·경험 기반 초기값</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장부에 실적이 누적된 후 재보정</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 소득 산포</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분포의 </w:t>
            </w:r>
            <w:r>
              <w:rPr>
                <w:rFonts w:ascii="맑은 고딕" w:cs="맑은 고딕" w:eastAsia="맑은 고딕" w:hAnsi="맑은 고딕"/>
                <w:b/>
                <w:bCs/>
                <w:color w:val="1A1A1A"/>
                <w:sz w:val="18"/>
                <w:szCs w:val="18"/>
              </w:rPr>
              <w:t xml:space="preserve">중심값은 실측</w:t>
            </w:r>
            <w:r>
              <w:rPr>
                <w:rFonts w:ascii="맑은 고딕" w:cs="맑은 고딕" w:eastAsia="맑은 고딕" w:hAnsi="맑은 고딕"/>
                <w:color w:val="1A1A1A"/>
                <w:sz w:val="18"/>
                <w:szCs w:val="18"/>
              </w:rPr>
              <w:t xml:space="preserve">, 산포와 형태는 가정</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단위 소득 분포 자료 확보 시</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L7 생활이동·O/D</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적재 경로는 구현. 원자료는 계약·승인 대상이며 갱신 주기가 김</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KTDB·통신사 자료 확보</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L10 카드소비</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미연동</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라이선스 협의 (비용·재배포 조건 확인 선행)</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자료</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경로는 구현. 자료 자체는 현장 담당자의 주기적 확인에 의존</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개시 후 회차 누적</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적중률</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장부 구조는 작동. 실적 확정 건이 누적되기 전에는 "표본 누적 중"으로 판정 유보</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10건 이상 누적</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F.3 이 부록의 취지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표에서 "작동"으로 표기한 항목은 시연 가능하며, "미완료"로 표기한 항목은 계약 시점에 그 상태 그대로 인계됩니다. 제안 단계에서 유리하게 적어 두고 운영 단계에서 달라지는 일을 만들지 않기 위해, </w:t>
      </w:r>
      <w:r>
        <w:rPr>
          <w:rFonts w:ascii="맑은 고딕" w:cs="맑은 고딕" w:eastAsia="맑은 고딕" w:hAnsi="맑은 고딕"/>
          <w:b/>
          <w:bCs/>
          <w:i w:val="false"/>
          <w:iCs w:val="false"/>
          <w:color w:val="1A1A1A"/>
          <w:sz w:val="20"/>
          <w:szCs w:val="20"/>
        </w:rPr>
        <w:t xml:space="preserve">구현되지 않은 것을 구현된 것처럼 쓰지 않았습니다.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특히 조정계수에 관한 표기는 강조할 필요가 있습니다. 교정 엔진이 있다는 것과 계수가 교정되었다는 것은 다른 상태이며, 리포트는 그 둘을 구분해 표기합니다. 발주처가 첫 리포트에서 "계수는 아직 초기값"이라는 문장을 보게 되는 것은 결함이 아니라 설계된 동작입니다.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2026-08-13T10:14:49.318Z</dcterms:created>
  <dcterms:modified xsi:type="dcterms:W3CDTF">2026-08-13T10:14:49.331Z</dcterms:modified>
</cp:coreProperties>
</file>

<file path=docProps/custom.xml><?xml version="1.0" encoding="utf-8"?>
<Properties xmlns="http://schemas.openxmlformats.org/officeDocument/2006/custom-properties" xmlns:vt="http://schemas.openxmlformats.org/officeDocument/2006/docPropsVTypes"/>
</file>