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00"/>
      </w:pPr>
    </w:p>
    <w:p>
      <w:pPr>
        <w:spacing w:after="0" w:before="0" w:line="300"/>
      </w:pPr>
    </w:p>
    <w:p>
      <w:pPr>
        <w:spacing w:after="0" w:before="0" w:line="300"/>
      </w:pPr>
    </w:p>
    <w:p>
      <w:pPr>
        <w:spacing w:after="0" w:before="0" w:line="300"/>
      </w:pPr>
    </w:p>
    <w:p>
      <w:pPr>
        <w:spacing w:after="120"/>
        <w:jc w:val="left"/>
      </w:pPr>
      <w:r>
        <w:rPr>
          <w:rFonts w:ascii="맑은 고딕" w:cs="맑은 고딕" w:eastAsia="맑은 고딕" w:hAnsi="맑은 고딕"/>
          <w:color w:val="5A5A5A"/>
          <w:spacing w:val="60"/>
          <w:sz w:val="20"/>
          <w:szCs w:val="20"/>
        </w:rPr>
        <w:t xml:space="preserve">사업 제안서</w:t>
      </w:r>
    </w:p>
    <w:p>
      <w:pPr>
        <w:pBdr>
          <w:bottom w:val="single" w:color="1F3864" w:sz="14" w:space="14"/>
        </w:pBdr>
        <w:spacing w:after="40"/>
        <w:jc w:val="left"/>
      </w:pPr>
      <w:r>
        <w:rPr>
          <w:rFonts w:ascii="맑은 고딕" w:cs="맑은 고딕" w:eastAsia="맑은 고딕" w:hAnsi="맑은 고딕"/>
          <w:sz w:val="6"/>
          <w:szCs w:val="6"/>
        </w:rPr>
        <w:t xml:space="preserve"> </w:t>
      </w:r>
    </w:p>
    <w:p>
      <w:pPr>
        <w:spacing w:after="0" w:before="0" w:line="300"/>
      </w:pPr>
    </w:p>
    <w:p>
      <w:pPr>
        <w:spacing w:after="80" w:before="200" w:line="420"/>
        <w:jc w:val="left"/>
      </w:pPr>
      <w:r>
        <w:rPr>
          <w:rFonts w:ascii="맑은 고딕" w:cs="맑은 고딕" w:eastAsia="맑은 고딕" w:hAnsi="맑은 고딕"/>
          <w:b/>
          <w:bCs/>
          <w:color w:val="1F3864"/>
          <w:sz w:val="46"/>
          <w:szCs w:val="46"/>
        </w:rPr>
        <w:t xml:space="preserve">분양하마 AI 분양 수요 전환 시스템</w:t>
      </w:r>
    </w:p>
    <w:p>
      <w:pPr>
        <w:spacing w:after="300" w:line="420"/>
        <w:jc w:val="left"/>
      </w:pPr>
      <w:r>
        <w:rPr>
          <w:rFonts w:ascii="맑은 고딕" w:cs="맑은 고딕" w:eastAsia="맑은 고딕" w:hAnsi="맑은 고딕"/>
          <w:b/>
          <w:bCs/>
          <w:color w:val="1F3864"/>
          <w:sz w:val="46"/>
          <w:szCs w:val="46"/>
        </w:rPr>
        <w:t xml:space="preserve">구축·운영 제안서</w:t>
      </w:r>
    </w:p>
    <w:p>
      <w:pPr>
        <w:spacing w:after="60" w:line="340"/>
        <w:jc w:val="left"/>
      </w:pPr>
      <w:r>
        <w:rPr>
          <w:rFonts w:ascii="맑은 고딕" w:cs="맑은 고딕" w:eastAsia="맑은 고딕" w:hAnsi="맑은 고딕"/>
          <w:color w:val="5A5A5A"/>
          <w:sz w:val="22"/>
          <w:szCs w:val="22"/>
        </w:rPr>
        <w:t xml:space="preserve">현장분석 · 판매논리 · 콘텐츠 · 광고 · 고객관리 · 계약 데이터를</w:t>
      </w:r>
    </w:p>
    <w:p>
      <w:pPr>
        <w:spacing w:after="500" w:line="340"/>
        <w:jc w:val="left"/>
      </w:pPr>
      <w:r>
        <w:rPr>
          <w:rFonts w:ascii="맑은 고딕" w:cs="맑은 고딕" w:eastAsia="맑은 고딕" w:hAnsi="맑은 고딕"/>
          <w:color w:val="5A5A5A"/>
          <w:sz w:val="22"/>
          <w:szCs w:val="22"/>
        </w:rPr>
        <w:t xml:space="preserve">하나의 운영체계로</w:t>
      </w:r>
    </w:p>
    <w:p>
      <w:pPr>
        <w:spacing w:after="0" w:before="0" w:line="300"/>
      </w:pPr>
    </w:p>
    <w:p>
      <w:pPr>
        <w:spacing w:after="0" w:before="0" w:line="300"/>
      </w:pPr>
    </w:p>
    <w:p>
      <w:pPr>
        <w:spacing w:after="0" w:before="0" w:line="300"/>
      </w:pPr>
    </w:p>
    <w:p>
      <w:pPr>
        <w:spacing w:after="0" w:before="0" w:line="300"/>
      </w:pPr>
    </w:p>
    <w:p>
      <w:pPr>
        <w:spacing w:after="0" w:before="0" w:line="300"/>
      </w:pPr>
    </w:p>
    <w:p>
      <w:pPr>
        <w:spacing w:after="0" w:before="0" w:line="3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제 출 처</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시행사 · 분양대행사 경영진, 개발사업 총괄, 현장 본부장 · 분양 총괄</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제 출 사</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분양하마 (테이블플립 자회사)</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문서 등급</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표준 제안서 (Rev. 4.0)</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작성 기준일</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2026년 7월 26일</w:t>
            </w:r>
          </w:p>
        </w:tc>
      </w:tr>
    </w:tbl>
    <w:p>
      <w:pPr>
        <w:sectPr>
          <w:pgSz w:w="11906" w:h="16838" w:orient="portrait"/>
          <w:pgMar w:top="1400" w:right="1134" w:bottom="1300" w:left="1134" w:header="708" w:footer="708" w:gutter="0"/>
          <w:pgNumType/>
          <w:docGrid w:linePitch="360"/>
        </w:sectPr>
      </w:pPr>
    </w:p>
    <w:p>
      <w:pPr>
        <w:pStyle w:val="Heading2"/>
        <w:keepNext/>
        <w:spacing w:after="140" w:before="300"/>
      </w:pPr>
      <w:r>
        <w:rPr>
          <w:rFonts w:ascii="맑은 고딕" w:cs="맑은 고딕" w:eastAsia="맑은 고딕" w:hAnsi="맑은 고딕"/>
          <w:b/>
          <w:bCs/>
          <w:color w:val="1A1A1A"/>
          <w:sz w:val="23"/>
          <w:szCs w:val="23"/>
        </w:rPr>
        <w:t xml:space="preserve">문서 관리 정보</w:t>
      </w:r>
    </w:p>
    <w:p>
      <w:pPr>
        <w:keepNext/>
        <w:spacing w:after="90" w:before="220"/>
      </w:pPr>
      <w:r>
        <w:rPr>
          <w:rFonts w:ascii="맑은 고딕" w:cs="맑은 고딕" w:eastAsia="맑은 고딕" w:hAnsi="맑은 고딕"/>
          <w:b/>
          <w:bCs/>
          <w:color w:val="1F3864"/>
          <w:sz w:val="18"/>
          <w:szCs w:val="18"/>
        </w:rPr>
        <w:t xml:space="preserve">[표 0-1] 문서 기본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 AI 분양 수요 전환 시스템 구축·운영 제안서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 유형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현장분석 · 판매논리 · 콘텐츠 · 광고 · 업무툴 · 성과관리 통합 운영 제안</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수행기간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90일 표준 운영 (현장 여건에 따라 조정)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상업 조건 요지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10% · 실제 매체 집행 90% · 콘텐츠 제작비 별도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적용 전제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현장자료·데이터 가용성·광고계정 권한·개인정보 기준 확인 후 확정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 상태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제안서. 현장명·예산·수량·단가는 계약 전 개별 확정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기간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작성 기준일로부터 90일 (데이터 이용조건 변동 시 재확인)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구현 상태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제5장·부록 E의 분석 체계는 </w:t>
            </w:r>
            <w:r>
              <w:rPr>
                <w:rFonts w:ascii="맑은 고딕" w:cs="맑은 고딕" w:eastAsia="맑은 고딕" w:hAnsi="맑은 고딕"/>
                <w:b/>
                <w:bCs/>
                <w:color w:val="1A1A1A"/>
                <w:sz w:val="18"/>
                <w:szCs w:val="18"/>
              </w:rPr>
              <w:t xml:space="preserve">설명이 아니라 작동하는 소프트웨어</w:t>
            </w:r>
            <w:r>
              <w:rPr>
                <w:rFonts w:ascii="맑은 고딕" w:cs="맑은 고딕" w:eastAsia="맑은 고딕" w:hAnsi="맑은 고딕"/>
                <w:color w:val="1A1A1A"/>
                <w:sz w:val="18"/>
                <w:szCs w:val="18"/>
              </w:rPr>
              <w:t xml:space="preserve">입니다. 구현 범위·검증 상태·미구현 항목은 부록 F에 명시합니다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중요 전제 (Disclaimer)</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제안서는 </w:t>
      </w:r>
      <w:r>
        <w:rPr>
          <w:rFonts w:ascii="맑은 고딕" w:cs="맑은 고딕" w:eastAsia="맑은 고딕" w:hAnsi="맑은 고딕"/>
          <w:b/>
          <w:bCs/>
          <w:i w:val="false"/>
          <w:iCs w:val="false"/>
          <w:color w:val="1A1A1A"/>
          <w:sz w:val="20"/>
          <w:szCs w:val="20"/>
        </w:rPr>
        <w:t xml:space="preserve">가격 상승, 수익, 분양계약, AI 추천 노출을 보장하지 않습니다.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미래 가격에 관한 모든 서술은 조건과 범위를 명시한 시나리오이며, 단일 예측값이 아닙니다.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데이터 이용 권한과 실제 제공 범위는 계약 전에 현장별로 다시 확인하여 커버리지표로 제출합니다.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현장가치 분석은 분양 마케팅·판매전략 수립을 목적으로 하며, 감정평가·투자자문에 해당하지 않습니다.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본 문서는 표준 운영모델의 설명이며, 특정 현장의 확정 분석 결과나 확정 견적이 아닙니다.</w:t>
      </w:r>
    </w:p>
    <w:p>
      <w:pPr>
        <w:spacing w:after="1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실제 착수 시 현장 주소, 분양조건, 광고계정, 고객 DB 처리 기준, 콘텐츠 제작 수량, 외부 데이터 이용조건을 반영하여 계약서와 세부 수행계획서를 별도로 확정합니다.</w:t>
      </w:r>
    </w:p>
    <w:p>
      <w:pPr>
        <w:pStyle w:val="Heading2"/>
        <w:keepNext/>
        <w:spacing w:after="140" w:before="300"/>
      </w:pPr>
      <w:r>
        <w:rPr>
          <w:rFonts w:ascii="맑은 고딕" w:cs="맑은 고딕" w:eastAsia="맑은 고딕" w:hAnsi="맑은 고딕"/>
          <w:b/>
          <w:bCs/>
          <w:color w:val="1A1A1A"/>
          <w:sz w:val="23"/>
          <w:szCs w:val="23"/>
        </w:rPr>
        <w:t xml:space="preserve">이 문서를 읽는 방법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문서는 프레젠테이션 자료가 아니라 </w:t>
      </w:r>
      <w:r>
        <w:rPr>
          <w:rFonts w:ascii="맑은 고딕" w:cs="맑은 고딕" w:eastAsia="맑은 고딕" w:hAnsi="맑은 고딕"/>
          <w:b/>
          <w:bCs/>
          <w:i w:val="false"/>
          <w:iCs w:val="false"/>
          <w:color w:val="1A1A1A"/>
          <w:sz w:val="20"/>
          <w:szCs w:val="20"/>
        </w:rPr>
        <w:t xml:space="preserve">의사결정을 위한 검토 보고서</w:t>
      </w:r>
      <w:r>
        <w:rPr>
          <w:rFonts w:ascii="맑은 고딕" w:cs="맑은 고딕" w:eastAsia="맑은 고딕" w:hAnsi="맑은 고딕"/>
          <w:b w:val="false"/>
          <w:bCs w:val="false"/>
          <w:i w:val="false"/>
          <w:iCs w:val="false"/>
          <w:color w:val="1A1A1A"/>
          <w:sz w:val="20"/>
          <w:szCs w:val="20"/>
        </w:rPr>
        <w:t xml:space="preserve">입니다. 모든 장(章)은 동일한 4단 구조를 따릅니다.</w:t>
      </w:r>
    </w:p>
    <w:p>
      <w:pPr>
        <w:keepNext/>
        <w:spacing w:after="90" w:before="220"/>
      </w:pPr>
      <w:r>
        <w:rPr>
          <w:rFonts w:ascii="맑은 고딕" w:cs="맑은 고딕" w:eastAsia="맑은 고딕" w:hAnsi="맑은 고딕"/>
          <w:b/>
          <w:bCs/>
          <w:color w:val="1F3864"/>
          <w:sz w:val="18"/>
          <w:szCs w:val="18"/>
        </w:rPr>
        <w:t xml:space="preserve">[표 0-2] 장(章) 표준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7338"/>
        <w:gridCol w:w="1150"/>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3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대상 독자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헤드라인</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장의 결론을 한 문장으로 제시</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 요약</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문제(Problem) → 원인(Reason) → 방법(Method) → 기대 효과(Effect)의 4행 요약</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의사결정자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본문</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근거·표·절차의 상세 기술</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실무 검토자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소결</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장의 결론과 다음 장으로의 연결</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검토 시간이 제한된 경우</w:t>
      </w:r>
      <w:r>
        <w:rPr>
          <w:rFonts w:ascii="맑은 고딕" w:cs="맑은 고딕" w:eastAsia="맑은 고딕" w:hAnsi="맑은 고딕"/>
          <w:b w:val="false"/>
          <w:bCs w:val="false"/>
          <w:i w:val="false"/>
          <w:iCs w:val="false"/>
          <w:color w:val="1A1A1A"/>
          <w:sz w:val="20"/>
          <w:szCs w:val="20"/>
        </w:rPr>
        <w:t xml:space="preserve"> 제1장(제안 요약)과 각 장의 헤드라인·장 요약·소결만으로 전체 논지를 파악할 수 있습니다. </w:t>
      </w:r>
      <w:r>
        <w:rPr>
          <w:rFonts w:ascii="맑은 고딕" w:cs="맑은 고딕" w:eastAsia="맑은 고딕" w:hAnsi="맑은 고딕"/>
          <w:b/>
          <w:bCs/>
          <w:i w:val="false"/>
          <w:iCs w:val="false"/>
          <w:color w:val="1A1A1A"/>
          <w:sz w:val="20"/>
          <w:szCs w:val="20"/>
        </w:rPr>
        <w:t xml:space="preserve">실무 검토 시</w:t>
      </w:r>
      <w:r>
        <w:rPr>
          <w:rFonts w:ascii="맑은 고딕" w:cs="맑은 고딕" w:eastAsia="맑은 고딕" w:hAnsi="맑은 고딕"/>
          <w:b w:val="false"/>
          <w:bCs w:val="false"/>
          <w:i w:val="false"/>
          <w:iCs w:val="false"/>
          <w:color w:val="1A1A1A"/>
          <w:sz w:val="20"/>
          <w:szCs w:val="20"/>
        </w:rPr>
        <w:t xml:space="preserve">에는 제5장(분석 방법론), 제11장(예산 구조), 제13장(제공 범위), 제14장(책임 분담)을 우선 확인하시기 바랍니다.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문서에서 하나의 개념은 하나의 절에서만 정의하며, 다른 장에서는 해당 절을 참조합니다. 동일한 설명은 반복하지 않습니다.</w:t>
      </w:r>
    </w:p>
    <w:p>
      <w:pPr>
        <w:pStyle w:val="Heading2"/>
        <w:keepNext/>
        <w:spacing w:after="140" w:before="300"/>
      </w:pPr>
      <w:r>
        <w:rPr>
          <w:rFonts w:ascii="맑은 고딕" w:cs="맑은 고딕" w:eastAsia="맑은 고딕" w:hAnsi="맑은 고딕"/>
          <w:b/>
          <w:bCs/>
          <w:color w:val="1A1A1A"/>
          <w:sz w:val="23"/>
          <w:szCs w:val="23"/>
        </w:rPr>
        <w:t xml:space="preserve">목차</w:t>
      </w:r>
    </w:p>
    <w:p>
      <w:pPr>
        <w:keepNext/>
        <w:spacing w:after="90" w:before="220"/>
      </w:pPr>
      <w:r>
        <w:rPr>
          <w:rFonts w:ascii="맑은 고딕" w:cs="맑은 고딕" w:eastAsia="맑은 고딕" w:hAnsi="맑은 고딕"/>
          <w:b/>
          <w:bCs/>
          <w:color w:val="1F3864"/>
          <w:sz w:val="18"/>
          <w:szCs w:val="18"/>
        </w:rPr>
        <w:t xml:space="preserve">[표 0-3] 제안서 구성과 각 장이 답하는 질문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234"/>
        <w:gridCol w:w="625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장</w:t>
            </w:r>
          </w:p>
        </w:tc>
        <w:tc>
          <w:tcPr>
            <w:tcW w:type="dxa" w:w="223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제목</w:t>
            </w:r>
          </w:p>
        </w:tc>
        <w:tc>
          <w:tcPr>
            <w:tcW w:type="dxa" w:w="62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이 장이 답하는 질문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 요약</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분양하마는 무엇을 하는 회사이며, 무엇을 제안하는가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산업의 구조적 문제</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성과를 확인할 수 없는 구조는 왜 만들어졌는가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분양광고가 실패하는 이유</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광고비를 늘려도 계약이 늘지 않는 이유는 무엇인가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 운영 방법론</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우리의 운영체계는 무엇이 다른가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현장가치 분석</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팔릴 근거를 어떤 방법으로 검증하는가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설계</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분석은 어떻게 고객을 설득하는 논리가 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전략</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논리는 어떤 형태로 고객에게 전달되는가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매체는 어떤 원칙으로 운영되는가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CRM·고객관리</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확보한 고객은 어떻게 계약까지 관리되는가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측정</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성과는 무엇으로, 어떤 기준으로 판정되는가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11</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투명성</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광고비는 어디에 쓰이며 어떻게 확인하는가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90일 운영 프로세스</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계약하면 언제 무엇이 진행되는가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13</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제공 범위</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무엇을 납품받고, 무엇이 별도이며, 합격 기준은 무엇인가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14</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수행 조직·책임과 위험 통제</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누가 무엇을 책임지고, 사고는 어떻게 방지되는가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제안을 채택하면 무엇이 달라지는가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16</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다음 단계</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검토를 진행하려면 무엇부터 하면 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17</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부록</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 기준 · 분석 기준 · 근거자료 · 용어 · 예측 검증 체계 · </w:t>
            </w:r>
            <w:r>
              <w:rPr>
                <w:rFonts w:ascii="맑은 고딕" w:cs="맑은 고딕" w:eastAsia="맑은 고딕" w:hAnsi="맑은 고딕"/>
                <w:b/>
                <w:bCs/>
                <w:color w:val="1A1A1A"/>
                <w:sz w:val="18"/>
                <w:szCs w:val="18"/>
              </w:rPr>
              <w:t xml:space="preserve">구현 현황</w:t>
            </w:r>
          </w:p>
        </w:tc>
      </w:tr>
    </w:tbl>
    <w:p>
      <w:pPr>
        <w:spacing w:after="200" w:before="0"/>
      </w:pP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제1장. 제안 요약</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본 제안의 요지는 광고 운영사를 교체하자는 것이 아니라, 분양 성과를 만드는 </w:t>
      </w:r>
      <w:r>
        <w:rPr>
          <w:rFonts w:ascii="맑은 고딕" w:cs="맑은 고딕" w:eastAsia="맑은 고딕" w:hAnsi="맑은 고딕"/>
          <w:b/>
          <w:bCs/>
          <w:i w:val="false"/>
          <w:iCs w:val="false"/>
          <w:color w:val="1A1A1A"/>
          <w:sz w:val="20"/>
          <w:szCs w:val="20"/>
        </w:rPr>
        <w:t xml:space="preserve">업무의 범위 자체를 재정의</w:t>
      </w:r>
      <w:r>
        <w:rPr>
          <w:rFonts w:ascii="맑은 고딕" w:cs="맑은 고딕" w:eastAsia="맑은 고딕" w:hAnsi="맑은 고딕"/>
          <w:b w:val="false"/>
          <w:bCs w:val="false"/>
          <w:i w:val="false"/>
          <w:iCs w:val="false"/>
          <w:color w:val="1A1A1A"/>
          <w:sz w:val="20"/>
          <w:szCs w:val="20"/>
        </w:rPr>
        <w:t xml:space="preserve">하자는 것입니다.</w:t>
      </w:r>
    </w:p>
    <w:p>
      <w:pPr>
        <w:keepNext/>
        <w:spacing w:after="90" w:before="220"/>
      </w:pPr>
      <w:r>
        <w:rPr>
          <w:rFonts w:ascii="맑은 고딕" w:cs="맑은 고딕" w:eastAsia="맑은 고딕" w:hAnsi="맑은 고딕"/>
          <w:b/>
          <w:bCs/>
          <w:color w:val="1F3864"/>
          <w:sz w:val="18"/>
          <w:szCs w:val="18"/>
        </w:rPr>
        <w:t xml:space="preserve">[표 1-1]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시행사는 광고비를 집행하고도 "그 예산이 어떤 경로로 계약에 기여했는가"를 확인할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분석·광고·현장 영업이 분리되어 있고, 광고대행의 업무 범위가 DB 전달에서 종료되도록 정의되어 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현장분석부터 계약·학습까지 10단계를 단일 책임으로 운영하고, 예산 원장과 고객 원장을 같은 체계에 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사용처와 고객 결과가 연결되어 검증되고, 부진의 원인(광고·가격·상담·수요)이 데이터로 구분된다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 경영진께 드리는 요지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분양하마는 </w:t>
      </w:r>
      <w:r>
        <w:rPr>
          <w:rFonts w:ascii="맑은 고딕" w:cs="맑은 고딕" w:eastAsia="맑은 고딕" w:hAnsi="맑은 고딕"/>
          <w:b/>
          <w:bCs/>
          <w:i w:val="false"/>
          <w:iCs w:val="false"/>
          <w:color w:val="1A1A1A"/>
          <w:sz w:val="20"/>
          <w:szCs w:val="20"/>
        </w:rPr>
        <w:t xml:space="preserve">광고를 대신 집행하는 회사가 아닙니다.</w:t>
      </w:r>
      <w:r>
        <w:rPr>
          <w:rFonts w:ascii="맑은 고딕" w:cs="맑은 고딕" w:eastAsia="맑은 고딕" w:hAnsi="맑은 고딕"/>
          <w:b w:val="false"/>
          <w:bCs w:val="false"/>
          <w:i w:val="false"/>
          <w:iCs w:val="false"/>
          <w:color w:val="1A1A1A"/>
          <w:sz w:val="20"/>
          <w:szCs w:val="20"/>
        </w:rPr>
        <w:t xml:space="preserve"> 현장의 가격과 입지에 대한 고객의 질문을 공식 데이터로 검증하고, 그 근거를 콘텐츠·광고·상담·방문·계약 관리까지 연결하여 </w:t>
      </w:r>
      <w:r>
        <w:rPr>
          <w:rFonts w:ascii="맑은 고딕" w:cs="맑은 고딕" w:eastAsia="맑은 고딕" w:hAnsi="맑은 고딕"/>
          <w:b/>
          <w:bCs/>
          <w:i w:val="false"/>
          <w:iCs w:val="false"/>
          <w:color w:val="1A1A1A"/>
          <w:sz w:val="20"/>
          <w:szCs w:val="20"/>
        </w:rPr>
        <w:t xml:space="preserve">결과로부터 다시 배우는 운영체계를 제공하는 수요 전환 운영사</w:t>
      </w:r>
      <w:r>
        <w:rPr>
          <w:rFonts w:ascii="맑은 고딕" w:cs="맑은 고딕" w:eastAsia="맑은 고딕" w:hAnsi="맑은 고딕"/>
          <w:b w:val="false"/>
          <w:bCs w:val="false"/>
          <w:i w:val="false"/>
          <w:iCs w:val="false"/>
          <w:color w:val="1A1A1A"/>
          <w:sz w:val="20"/>
          <w:szCs w:val="20"/>
        </w:rPr>
        <w:t xml:space="preserve">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당사가 하나의 체계로 통합하는 기능은 일곱 가지입니다.</w:t>
      </w:r>
    </w:p>
    <w:p>
      <w:pPr>
        <w:keepNext/>
        <w:spacing w:after="90" w:before="220"/>
      </w:pPr>
      <w:r>
        <w:rPr>
          <w:rFonts w:ascii="맑은 고딕" w:cs="맑은 고딕" w:eastAsia="맑은 고딕" w:hAnsi="맑은 고딕"/>
          <w:b/>
          <w:bCs/>
          <w:color w:val="1F3864"/>
          <w:sz w:val="18"/>
          <w:szCs w:val="18"/>
        </w:rPr>
        <w:t xml:space="preserve">[표 1-2] 통합 대상 기능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68"/>
        <w:gridCol w:w="5470"/>
      </w:tblGrid>
      <w:tr>
        <w:trPr>
          <w:cantSplit/>
          <w:tblHeader/>
        </w:trPr>
        <w:tc>
          <w:tcPr>
            <w:tcW w:type="dxa" w:w="416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기능</w:t>
            </w:r>
          </w:p>
        </w:tc>
        <w:tc>
          <w:tcPr>
            <w:tcW w:type="dxa" w:w="54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본 제안서에서의 위치</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(Data)</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 — 7대 카테고리 · 15개 데이터 레이어</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(Analysis)</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 — 방법론 엔진 6종</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(Sales Logic)</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 — 고객 질문 6축 메시지맵</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마케팅 (Marketing)</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제7·8장 — 콘텐츠 전략, 매체 운영</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CRM</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 — DB 자동연동, 담당자 배정</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고객관리 (Customer Management)</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 — 10단계 상태 관리, 연락 지연 통제</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 최적화 (Sales Optimization)</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 — 퍼널 측정, 병목 진단, 재최적화</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일곱 기능이 서로 다른 주체에게 분산되어 있다는 것이 기존 분양광고의 구조적 문제이며, 이를 하나의 책임 아래 연결하는 것이 본 제안의 목적입니다.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한 가지를 먼저 밝힙니다.</w:t>
      </w:r>
      <w:r>
        <w:rPr>
          <w:rFonts w:ascii="맑은 고딕" w:cs="맑은 고딕" w:eastAsia="맑은 고딕" w:hAnsi="맑은 고딕"/>
          <w:b w:val="false"/>
          <w:bCs w:val="false"/>
          <w:i w:val="false"/>
          <w:iCs w:val="false"/>
          <w:color w:val="1A1A1A"/>
          <w:sz w:val="20"/>
          <w:szCs w:val="20"/>
        </w:rPr>
        <w:t xml:space="preserve"> 제5장에 기술된 분석 체계는 제안을 위해 그려 둔 설계도가 아니라 </w:t>
      </w:r>
      <w:r>
        <w:rPr>
          <w:rFonts w:ascii="맑은 고딕" w:cs="맑은 고딕" w:eastAsia="맑은 고딕" w:hAnsi="맑은 고딕"/>
          <w:b/>
          <w:bCs/>
          <w:i w:val="false"/>
          <w:iCs w:val="false"/>
          <w:color w:val="1A1A1A"/>
          <w:sz w:val="20"/>
          <w:szCs w:val="20"/>
        </w:rPr>
        <w:t xml:space="preserve">이미 작동하는 소프트웨어</w:t>
      </w:r>
      <w:r>
        <w:rPr>
          <w:rFonts w:ascii="맑은 고딕" w:cs="맑은 고딕" w:eastAsia="맑은 고딕" w:hAnsi="맑은 고딕"/>
          <w:b w:val="false"/>
          <w:bCs w:val="false"/>
          <w:i w:val="false"/>
          <w:iCs w:val="false"/>
          <w:color w:val="1A1A1A"/>
          <w:sz w:val="20"/>
          <w:szCs w:val="20"/>
        </w:rPr>
        <w:t xml:space="preserve">입니다. 15개 데이터 레이어 중 13개가 연동되어 있고, 전망은 발행 시점에 봉인되어 실적과 대조되며, 조정계수조차 검증을 통과할 때만 교체됩니다. 동시에 아직 확정되지 않은 항목 — 계수 교정의 실행, 민간 라이선스 데이터 2종, 예측 적중률의 표본 누적 — 도 부록 F에 그대로 적었습니다. 검증 가능성을 제안의 핵심으로 내세우는 문서가 스스로에 대해서만 예외를 두는 것은 성립하지 않기 때문입니다.</w:t>
      </w:r>
    </w:p>
    <w:p>
      <w:pPr>
        <w:pStyle w:val="Heading2"/>
        <w:keepNext/>
        <w:spacing w:after="140" w:before="300"/>
      </w:pPr>
      <w:r>
        <w:rPr>
          <w:rFonts w:ascii="맑은 고딕" w:cs="맑은 고딕" w:eastAsia="맑은 고딕" w:hAnsi="맑은 고딕"/>
          <w:b/>
          <w:bCs/>
          <w:color w:val="1A1A1A"/>
          <w:sz w:val="23"/>
          <w:szCs w:val="23"/>
        </w:rPr>
        <w:t xml:space="preserve">1.2 발주처가 직면한 문제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 성과는 더 이상 마케팅 부서의 성과 지표가 아니라 </w:t>
      </w:r>
      <w:r>
        <w:rPr>
          <w:rFonts w:ascii="맑은 고딕" w:cs="맑은 고딕" w:eastAsia="맑은 고딕" w:hAnsi="맑은 고딕"/>
          <w:b/>
          <w:bCs/>
          <w:i w:val="false"/>
          <w:iCs w:val="false"/>
          <w:color w:val="1A1A1A"/>
          <w:sz w:val="20"/>
          <w:szCs w:val="20"/>
        </w:rPr>
        <w:t xml:space="preserve">사업 재무의 핵심 변수</w:t>
      </w:r>
      <w:r>
        <w:rPr>
          <w:rFonts w:ascii="맑은 고딕" w:cs="맑은 고딕" w:eastAsia="맑은 고딕" w:hAnsi="맑은 고딕"/>
          <w:b w:val="false"/>
          <w:bCs w:val="false"/>
          <w:i w:val="false"/>
          <w:iCs w:val="false"/>
          <w:color w:val="1A1A1A"/>
          <w:sz w:val="20"/>
          <w:szCs w:val="20"/>
        </w:rPr>
        <w:t xml:space="preserve">입니다. PF 상환 일정과 분양 수입금 유입이 연동되어 있고, 분양 지연은 금융비용 증가, 추가 판촉비 투입, 조건 완화로 인한 수입 감소로 이어집니다.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그러나 다수의 현장에서 경영진이 확인할 수 있는 정보는 다음 수준에 머무릅니다.</w:t>
      </w:r>
    </w:p>
    <w:p>
      <w:pPr>
        <w:keepNext/>
        <w:spacing w:after="90" w:before="220"/>
      </w:pPr>
      <w:r>
        <w:rPr>
          <w:rFonts w:ascii="맑은 고딕" w:cs="맑은 고딕" w:eastAsia="맑은 고딕" w:hAnsi="맑은 고딕"/>
          <w:b/>
          <w:bCs/>
          <w:color w:val="1F3864"/>
          <w:sz w:val="18"/>
          <w:szCs w:val="18"/>
        </w:rPr>
        <w:t xml:space="preserve">[표 1-3] 경영진이 받는 정보와 실제로 필요한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977"/>
        <w:gridCol w:w="5511"/>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29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받는 정보</w:t>
            </w:r>
          </w:p>
        </w:tc>
        <w:tc>
          <w:tcPr>
            <w:tcW w:type="dxa" w:w="55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실제로 필요한 정보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견적서 총액, 세금계산서</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매체별·일별 실제 집행액, 잔여 예산</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w:t>
            </w:r>
          </w:p>
        </w:tc>
        <w:tc>
          <w:tcPr>
            <w:tcW w:type="dxa" w:w="29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 DB 건수, DB 단가</w:t>
            </w:r>
          </w:p>
        </w:tc>
        <w:tc>
          <w:tcPr>
            <w:tcW w:type="dxa" w:w="5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 소재별 유입 품질</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건수 (구두 보고)</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미연락·연락지연 현황, 담당자별 처리 품질</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w:t>
            </w:r>
          </w:p>
        </w:tc>
        <w:tc>
          <w:tcPr>
            <w:tcW w:type="dxa" w:w="29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건수</w:t>
            </w:r>
          </w:p>
        </w:tc>
        <w:tc>
          <w:tcPr>
            <w:tcW w:type="dxa" w:w="5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계약에 기여한 매체·소재·상담 경로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"시장이 어렵다"</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광고·가격·상담·수요 중 어느 것이 병목인가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우측 열의 정보가 없으면, 부진에 대한 대응은 추정에 의존하게 됩니다. 가격을 조정해야 할 국면에 판촉을 늘리거나, 상담을 교정해야 할 국면에 광고비를 증액하는 오판이 구조적으로 발생합니다.</w:t>
      </w:r>
    </w:p>
    <w:p>
      <w:pPr>
        <w:pStyle w:val="Heading2"/>
        <w:keepNext/>
        <w:spacing w:after="140" w:before="300"/>
      </w:pPr>
      <w:r>
        <w:rPr>
          <w:rFonts w:ascii="맑은 고딕" w:cs="맑은 고딕" w:eastAsia="맑은 고딕" w:hAnsi="맑은 고딕"/>
          <w:b/>
          <w:bCs/>
          <w:color w:val="1A1A1A"/>
          <w:sz w:val="23"/>
          <w:szCs w:val="23"/>
        </w:rPr>
        <w:t xml:space="preserve">1.3 구조의 차이</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문제의 근원은 개별 업체의 역량이 아니라 </w:t>
      </w:r>
      <w:r>
        <w:rPr>
          <w:rFonts w:ascii="맑은 고딕" w:cs="맑은 고딕" w:eastAsia="맑은 고딕" w:hAnsi="맑은 고딕"/>
          <w:b/>
          <w:bCs/>
          <w:i w:val="false"/>
          <w:iCs w:val="false"/>
          <w:color w:val="1A1A1A"/>
          <w:sz w:val="20"/>
          <w:szCs w:val="20"/>
        </w:rPr>
        <w:t xml:space="preserve">업무 범위의 정의</w:t>
      </w:r>
      <w:r>
        <w:rPr>
          <w:rFonts w:ascii="맑은 고딕" w:cs="맑은 고딕" w:eastAsia="맑은 고딕" w:hAnsi="맑은 고딕"/>
          <w:b w:val="false"/>
          <w:bCs w:val="false"/>
          <w:i w:val="false"/>
          <w:iCs w:val="false"/>
          <w:color w:val="1A1A1A"/>
          <w:sz w:val="20"/>
          <w:szCs w:val="20"/>
        </w:rPr>
        <w:t xml:space="preserve">에 있습니다.</w:t>
      </w:r>
    </w:p>
    <w:p>
      <w:pPr>
        <w:keepNext/>
        <w:spacing w:after="90" w:before="220"/>
      </w:pPr>
      <w:r>
        <w:rPr>
          <w:rFonts w:ascii="맑은 고딕" w:cs="맑은 고딕" w:eastAsia="맑은 고딕" w:hAnsi="맑은 고딕"/>
          <w:b/>
          <w:bCs/>
          <w:color w:val="1F3864"/>
          <w:sz w:val="18"/>
          <w:szCs w:val="18"/>
        </w:rPr>
        <w:t xml:space="preserve">[그림 1-1] 전통적 광고대행과 분양하마 운영체계의 업무 범위 대조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광고대행]</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 업무 범위가 여기서 종료. 상담·방문·계약은 "현장의 일"로 분리</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[분양하마 운영체계]</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① 현장분석 → ② 판매논리 → ③ 콘텐츠 전략 → ④ 광고 집행</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⑩ 최적화 ← ⑨ 학습 ← ⑧ 계약 ← ⑦ 방문 ← ⑥ 고객관리 ← ⑤ CRM 연동</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 ⑩의 결과가 ①~④로 환류하여 다음 주기를 개선</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대행 구조에서 광고 집행은 </w:t>
      </w:r>
      <w:r>
        <w:rPr>
          <w:rFonts w:ascii="맑은 고딕" w:cs="맑은 고딕" w:eastAsia="맑은 고딕" w:hAnsi="맑은 고딕"/>
          <w:b/>
          <w:bCs/>
          <w:i w:val="false"/>
          <w:iCs w:val="false"/>
          <w:color w:val="1A1A1A"/>
          <w:sz w:val="20"/>
          <w:szCs w:val="20"/>
        </w:rPr>
        <w:t xml:space="preserve">업무의 전부</w:t>
      </w:r>
      <w:r>
        <w:rPr>
          <w:rFonts w:ascii="맑은 고딕" w:cs="맑은 고딕" w:eastAsia="맑은 고딕" w:hAnsi="맑은 고딕"/>
          <w:b w:val="false"/>
          <w:bCs w:val="false"/>
          <w:i w:val="false"/>
          <w:iCs w:val="false"/>
          <w:color w:val="1A1A1A"/>
          <w:sz w:val="20"/>
          <w:szCs w:val="20"/>
        </w:rPr>
        <w:t xml:space="preserve">입니다. 분양하마 운영체계에서 광고 집행은 </w:t>
      </w:r>
      <w:r>
        <w:rPr>
          <w:rFonts w:ascii="맑은 고딕" w:cs="맑은 고딕" w:eastAsia="맑은 고딕" w:hAnsi="맑은 고딕"/>
          <w:b/>
          <w:bCs/>
          <w:i w:val="false"/>
          <w:iCs w:val="false"/>
          <w:color w:val="1A1A1A"/>
          <w:sz w:val="20"/>
          <w:szCs w:val="20"/>
        </w:rPr>
        <w:t xml:space="preserve">열 단계 중 네 번째 단계</w:t>
      </w:r>
      <w:r>
        <w:rPr>
          <w:rFonts w:ascii="맑은 고딕" w:cs="맑은 고딕" w:eastAsia="맑은 고딕" w:hAnsi="맑은 고딕"/>
          <w:b w:val="false"/>
          <w:bCs w:val="false"/>
          <w:i w:val="false"/>
          <w:iCs w:val="false"/>
          <w:color w:val="1A1A1A"/>
          <w:sz w:val="20"/>
          <w:szCs w:val="20"/>
        </w:rPr>
        <w:t xml:space="preserve">입니다. 광고 앞에는 팔릴 근거를 만드는 세 단계가, 광고 뒤에는 계약까지 관리하고 결과로부터 배우는 여섯 단계가 있습니다.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제안서 전체는 이 구조 차이가 어떻게 성과 차이로 이어지는지에 대한 설명입니다.</w:t>
      </w:r>
    </w:p>
    <w:p>
      <w:pPr>
        <w:pStyle w:val="Heading2"/>
        <w:keepNext/>
        <w:spacing w:after="140" w:before="300"/>
      </w:pPr>
      <w:r>
        <w:rPr>
          <w:rFonts w:ascii="맑은 고딕" w:cs="맑은 고딕" w:eastAsia="맑은 고딕" w:hAnsi="맑은 고딕"/>
          <w:b/>
          <w:bCs/>
          <w:color w:val="1A1A1A"/>
          <w:sz w:val="23"/>
          <w:szCs w:val="23"/>
        </w:rPr>
        <w:t xml:space="preserve">1.4 제안 범위</w:t>
      </w:r>
    </w:p>
    <w:p>
      <w:pPr>
        <w:keepNext/>
        <w:spacing w:after="90" w:before="220"/>
      </w:pPr>
      <w:r>
        <w:rPr>
          <w:rFonts w:ascii="맑은 고딕" w:cs="맑은 고딕" w:eastAsia="맑은 고딕" w:hAnsi="맑은 고딕"/>
          <w:b/>
          <w:bCs/>
          <w:color w:val="1F3864"/>
          <w:sz w:val="18"/>
          <w:szCs w:val="18"/>
        </w:rPr>
        <w:t xml:space="preserve">[표 1-4] 제안 구성과 해소하는 문제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3"/>
        <w:gridCol w:w="4865"/>
        <w:gridCol w:w="2170"/>
        <w:gridCol w:w="1150"/>
      </w:tblGrid>
      <w:tr>
        <w:trPr>
          <w:cantSplit/>
          <w:tblHeader/>
        </w:trPr>
        <w:tc>
          <w:tcPr>
            <w:tcW w:type="dxa" w:w="14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48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내용</w:t>
            </w:r>
          </w:p>
        </w:tc>
        <w:tc>
          <w:tcPr>
            <w:tcW w:type="dxa" w:w="21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해소하는 문제</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상세</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AI 현장가치 분석</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7대 카테고리·15개 데이터 레이어·300+ 지표로 현장가치를 독립 검증</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없는 메시지</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 설계</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6축에 분석 근거를 대응시킨 메시지맵과 반론 대응 논리</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강점과 고객 질문의 어긋남</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콘텐츠·정보 허브</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콘텐츠와 검증형 현장 정보 허브(GEO)</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소재의 낮은 전환</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멀티채널 광고 운영</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Meta·Google·YouTube·LMS의 고객 단계별 역할 분담</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개별 운영, 증빙 편향</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제8장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CRM·전환관리</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자동연동, 배정, 연락지연 통제, 10단계 상태 관리</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전달 이후의 관리 사각지대</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성과 측정·학습</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퍼널 측정, 병목 진단, 거절 사유의 운영 반영</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원인을 모르는 반복</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예산 투명성</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수수료·실집행·제작비·잔액의 분리 공개와 정산</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사용처 불투명</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제11장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 상업 조건의 원칙</w:t>
      </w:r>
    </w:p>
    <w:p>
      <w:pPr>
        <w:keepNext/>
        <w:spacing w:after="90" w:before="220"/>
      </w:pPr>
      <w:r>
        <w:rPr>
          <w:rFonts w:ascii="맑은 고딕" w:cs="맑은 고딕" w:eastAsia="맑은 고딕" w:hAnsi="맑은 고딕"/>
          <w:b/>
          <w:bCs/>
          <w:color w:val="1F3864"/>
          <w:sz w:val="18"/>
          <w:szCs w:val="18"/>
        </w:rPr>
        <w:t xml:space="preserve">[표 1-5] 비용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4673"/>
        <w:gridCol w:w="3505"/>
      </w:tblGrid>
      <w:tr>
        <w:trPr>
          <w:cantSplit/>
          <w:tblHeader/>
        </w:trPr>
        <w:tc>
          <w:tcPr>
            <w:tcW w:type="dxa" w:w="14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467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원칙</w:t>
            </w:r>
          </w:p>
        </w:tc>
        <w:tc>
          <w:tcPr>
            <w:tcW w:type="dxa" w:w="35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계약 전 확정 사항</w:t>
            </w:r>
          </w:p>
        </w:tc>
      </w:tr>
      <w:tr>
        <w:trPr>
          <w:cantSplit/>
          <w:tblHeader w:val="false"/>
        </w:trPr>
        <w:tc>
          <w:tcPr>
            <w:tcW w:type="dxa" w:w="1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w:t>
            </w:r>
          </w:p>
        </w:tc>
        <w:tc>
          <w:tcPr>
            <w:tcW w:type="dxa" w:w="467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부가세 제외 광고운영예산의 10%</w:t>
            </w:r>
          </w:p>
        </w:tc>
        <w:tc>
          <w:tcPr>
            <w:tcW w:type="dxa" w:w="35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기준금액, 부가세, 최소 운영기간</w:t>
            </w:r>
          </w:p>
        </w:tc>
      </w:tr>
      <w:tr>
        <w:trPr>
          <w:cantSplit/>
          <w:tblHeader w:val="false"/>
        </w:trPr>
        <w:tc>
          <w:tcPr>
            <w:tcW w:type="dxa" w:w="1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w:t>
            </w:r>
          </w:p>
        </w:tc>
        <w:tc>
          <w:tcPr>
            <w:tcW w:type="dxa" w:w="467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광고운영예산의 90%</w:t>
            </w:r>
          </w:p>
        </w:tc>
        <w:tc>
          <w:tcPr>
            <w:tcW w:type="dxa" w:w="35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배분, 결제 주체, 잔액 처리</w:t>
            </w:r>
          </w:p>
        </w:tc>
      </w:tr>
      <w:tr>
        <w:trPr>
          <w:cantSplit/>
          <w:tblHeader w:val="false"/>
        </w:trPr>
        <w:tc>
          <w:tcPr>
            <w:tcW w:type="dxa" w:w="1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제작비</w:t>
            </w:r>
          </w:p>
        </w:tc>
        <w:tc>
          <w:tcPr>
            <w:tcW w:type="dxa" w:w="467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운영수수료와 별도 견적</w:t>
            </w:r>
          </w:p>
        </w:tc>
        <w:tc>
          <w:tcPr>
            <w:tcW w:type="dxa" w:w="35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품목·수량·수정 횟수·납기·권리</w:t>
            </w:r>
          </w:p>
        </w:tc>
      </w:tr>
      <w:tr>
        <w:trPr>
          <w:cantSplit/>
          <w:tblHeader w:val="false"/>
        </w:trPr>
        <w:tc>
          <w:tcPr>
            <w:tcW w:type="dxa" w:w="1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업무툴</w:t>
            </w:r>
          </w:p>
        </w:tc>
        <w:tc>
          <w:tcPr>
            <w:tcW w:type="dxa" w:w="467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운영기간 중 별도 라이선스비 없이 제공 (현장 1개)</w:t>
            </w:r>
          </w:p>
        </w:tc>
        <w:tc>
          <w:tcPr>
            <w:tcW w:type="dxa" w:w="35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사용자 수, 보관 기간, 종료 후 처리</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w:t>
      </w:r>
      <w:r>
        <w:rPr>
          <w:rFonts w:ascii="맑은 고딕" w:cs="맑은 고딕" w:eastAsia="맑은 고딕" w:hAnsi="맑은 고딕"/>
          <w:b/>
          <w:bCs/>
          <w:i w:val="false"/>
          <w:iCs w:val="false"/>
          <w:color w:val="1A1A1A"/>
          <w:sz w:val="20"/>
          <w:szCs w:val="20"/>
        </w:rPr>
        <w:t xml:space="preserve">10%라는 수수료율을 본 제안의 차별점으로 제시하지 않습니다.</w:t>
      </w:r>
      <w:r>
        <w:rPr>
          <w:rFonts w:ascii="맑은 고딕" w:cs="맑은 고딕" w:eastAsia="맑은 고딕" w:hAnsi="맑은 고딕"/>
          <w:b w:val="false"/>
          <w:bCs w:val="false"/>
          <w:i w:val="false"/>
          <w:iCs w:val="false"/>
          <w:color w:val="1A1A1A"/>
          <w:sz w:val="20"/>
          <w:szCs w:val="20"/>
        </w:rPr>
        <w:t xml:space="preserve"> 동일하거나 유사한 수수료 조건은 시장에도 존재합니다. 차별점은 같은 예산에서 다음 다섯 가지가 하나의 체계로 이어진다는 데 있습니다.</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근거가 검증된 현장분석</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매체별·일별 실집행 내역</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고객 처리 현황 (배정·연락·상담)</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방문·계약 결과와 기여 경로</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다음 캠페인의 개선 근거</w:t>
      </w:r>
    </w:p>
    <w:p>
      <w:pPr>
        <w:spacing w:after="100" w:before="0"/>
      </w:pPr>
    </w:p>
    <w:p>
      <w:pPr>
        <w:pStyle w:val="Heading2"/>
        <w:keepNext/>
        <w:spacing w:after="140" w:before="300"/>
      </w:pPr>
      <w:r>
        <w:rPr>
          <w:rFonts w:ascii="맑은 고딕" w:cs="맑은 고딕" w:eastAsia="맑은 고딕" w:hAnsi="맑은 고딕"/>
          <w:b/>
          <w:bCs/>
          <w:color w:val="1A1A1A"/>
          <w:sz w:val="23"/>
          <w:szCs w:val="23"/>
        </w:rPr>
        <w:t xml:space="preserve">1.6 의사결정자가 확인할 사항</w:t>
      </w:r>
    </w:p>
    <w:p>
      <w:pPr>
        <w:keepNext/>
        <w:spacing w:after="90" w:before="220"/>
      </w:pPr>
      <w:r>
        <w:rPr>
          <w:rFonts w:ascii="맑은 고딕" w:cs="맑은 고딕" w:eastAsia="맑은 고딕" w:hAnsi="맑은 고딕"/>
          <w:b/>
          <w:bCs/>
          <w:color w:val="1F3864"/>
          <w:sz w:val="18"/>
          <w:szCs w:val="18"/>
        </w:rPr>
        <w:t xml:space="preserve">[표 1-6] 계약 전 확인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5752"/>
        <w:gridCol w:w="2736"/>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57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사항</w:t>
            </w:r>
          </w:p>
        </w:tc>
        <w:tc>
          <w:tcPr>
            <w:tcW w:type="dxa" w:w="27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미확정 시 영향</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현장·분양·경쟁단지 자료와 외부 데이터의 이용 가능 여부</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 축소 또는 재설계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계정·정산</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소유·접근·결제 방식, 1+1 지원금의 정산 책임</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 검증 불가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동의문, 처리위탁, 보관기간, DB 이전 기준</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불가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수량·수정 횟수·촬영 범위, 정보 허브 운영기간</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착수 지연</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배정·최초 연락 기준시간, 상담단계 정의, 등록 책임</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광고-계약 연결 분석 제한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성공 기준, 중단 조건, 변경관리, 종료 정산 기준</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시점 분쟁 소지</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분석 체계에 대해서는 다음 세 가지를 직접 요구하시기 바랍니다.</w:t>
      </w:r>
      <w:r>
        <w:rPr>
          <w:rFonts w:ascii="맑은 고딕" w:cs="맑은 고딕" w:eastAsia="맑은 고딕" w:hAnsi="맑은 고딕"/>
          <w:b w:val="false"/>
          <w:bCs w:val="false"/>
          <w:i w:val="false"/>
          <w:iCs w:val="false"/>
          <w:color w:val="1A1A1A"/>
          <w:sz w:val="20"/>
          <w:szCs w:val="20"/>
        </w:rPr>
        <w:t xml:space="preserve"> 제안서의 서술을 신뢰해 달라고 요청하는 대신, 확인 가능한 형태로 제출합니다.</w:t>
      </w:r>
    </w:p>
    <w:p>
      <w:pPr>
        <w:keepNext/>
        <w:spacing w:after="90" w:before="220"/>
      </w:pPr>
      <w:r>
        <w:rPr>
          <w:rFonts w:ascii="맑은 고딕" w:cs="맑은 고딕" w:eastAsia="맑은 고딕" w:hAnsi="맑은 고딕"/>
          <w:b/>
          <w:bCs/>
          <w:color w:val="1F3864"/>
          <w:sz w:val="18"/>
          <w:szCs w:val="18"/>
        </w:rPr>
        <w:t xml:space="preserve">[표 1-6-1] 분석 체계에 대한 확인 요구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9"/>
        <w:gridCol w:w="7289"/>
      </w:tblGrid>
      <w:tr>
        <w:trPr>
          <w:cantSplit/>
          <w:tblHeader/>
        </w:trPr>
        <w:tc>
          <w:tcPr>
            <w:tcW w:type="dxa" w:w="23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요구 항목</w:t>
            </w:r>
          </w:p>
        </w:tc>
        <w:tc>
          <w:tcPr>
            <w:tcW w:type="dxa" w:w="72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확인되는 것</w:t>
            </w:r>
          </w:p>
        </w:tc>
      </w:tr>
      <w:tr>
        <w:trPr>
          <w:cantSplit/>
          <w:tblHeader w:val="false"/>
        </w:trPr>
        <w:tc>
          <w:tcPr>
            <w:tcW w:type="dxa" w:w="23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커버리지표 (계약 전 제출)</w:t>
            </w:r>
          </w:p>
        </w:tc>
        <w:tc>
          <w:tcPr>
            <w:tcW w:type="dxa" w:w="72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현장에서 15개 레이어 중 무엇이 확보되고 무엇이 안 되는가 — 실행 결과로부터 자동 생성되므로 운영 단계와 어긋나지 않음</w:t>
            </w:r>
          </w:p>
        </w:tc>
      </w:tr>
      <w:tr>
        <w:trPr>
          <w:cantSplit/>
          <w:tblHeader w:val="false"/>
        </w:trPr>
        <w:tc>
          <w:tcPr>
            <w:tcW w:type="dxa" w:w="23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근거원장이 포함된 샘플 리포트</w:t>
            </w:r>
          </w:p>
        </w:tc>
        <w:tc>
          <w:tcPr>
            <w:tcW w:type="dxa" w:w="72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수치가 어떤 데이터·규칙·표본에서 나왔는가, 그리고 </w:t>
            </w:r>
            <w:r>
              <w:rPr>
                <w:rFonts w:ascii="맑은 고딕" w:cs="맑은 고딕" w:eastAsia="맑은 고딕" w:hAnsi="맑은 고딕"/>
                <w:b/>
                <w:bCs/>
                <w:color w:val="1A1A1A"/>
                <w:sz w:val="18"/>
                <w:szCs w:val="18"/>
              </w:rPr>
              <w:t xml:space="preserve">무엇이 미산출인가</w:t>
            </w:r>
          </w:p>
        </w:tc>
      </w:tr>
      <w:tr>
        <w:trPr>
          <w:cantSplit/>
          <w:tblHeader w:val="false"/>
        </w:trPr>
        <w:tc>
          <w:tcPr>
            <w:tcW w:type="dxa" w:w="23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 감사 결과</w:t>
            </w:r>
          </w:p>
        </w:tc>
        <w:tc>
          <w:tcPr>
            <w:tcW w:type="dxa" w:w="72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발행된 전망이 수정되지 않았음이 해시 재계산으로 확인되는가, 불변 장치가 실제로 작동하는가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1.7 성과에 대한 한계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제안은 분양계약 수, 가격 상승, 광고 수익률, AI 노출을 보장하지 않습니다(중요 전제 참조). 성과는 상품·가격·시장 국면·현장 인력·예산·기간의 영향을 함께 받습니다.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당사가 약속하는 것은 결과의 보장이 아니라, </w:t>
      </w:r>
      <w:r>
        <w:rPr>
          <w:rFonts w:ascii="맑은 고딕" w:cs="맑은 고딕" w:eastAsia="맑은 고딕" w:hAnsi="맑은 고딕"/>
          <w:b/>
          <w:bCs/>
          <w:i w:val="false"/>
          <w:iCs w:val="false"/>
          <w:color w:val="1A1A1A"/>
          <w:sz w:val="20"/>
          <w:szCs w:val="20"/>
        </w:rPr>
        <w:t xml:space="preserve">결과가 만들어지는 전 과정을 측정 가능하고 확인 가능하게 운영하는 것</w:t>
      </w:r>
      <w:r>
        <w:rPr>
          <w:rFonts w:ascii="맑은 고딕" w:cs="맑은 고딕" w:eastAsia="맑은 고딕" w:hAnsi="맑은 고딕"/>
          <w:b w:val="false"/>
          <w:bCs w:val="false"/>
          <w:i w:val="false"/>
          <w:iCs w:val="false"/>
          <w:color w:val="1A1A1A"/>
          <w:sz w:val="20"/>
          <w:szCs w:val="20"/>
        </w:rPr>
        <w:t xml:space="preserve">입니다. 수요 부족이 실제 원인인 현장에서는 그 사실을 데이터로 보고하고 조건 재검토를 안건화하는 것 역시 당사의 역할에 포함됩니다.</w:t>
      </w:r>
    </w:p>
    <w:p>
      <w:pPr>
        <w:pStyle w:val="Heading2"/>
        <w:keepNext/>
        <w:spacing w:after="140" w:before="300"/>
      </w:pPr>
      <w:r>
        <w:rPr>
          <w:rFonts w:ascii="맑은 고딕" w:cs="맑은 고딕" w:eastAsia="맑은 고딕" w:hAnsi="맑은 고딕"/>
          <w:b/>
          <w:bCs/>
          <w:color w:val="1A1A1A"/>
          <w:sz w:val="23"/>
          <w:szCs w:val="23"/>
        </w:rPr>
        <w:t xml:space="preserve">1.8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장에서 제시한 세 가지 — 업무 범위의 재정의(1.3), 일곱 기능의 통합(1.4), 예산·고객 원장의 결합(1.5) — 이 본 제안의 골격입니다.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이어지는 제2장과 제3장은 현재의 구조가 왜 성과를 만들지 못하는지를 진단하고, 제4장 이후는 당사의 대안을 검증 가능한 형태로 기술합니다.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제2장. 분양 산업의 구조적 문제</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 운영의 핵심 문제는 시장 국면이 아니라, 성과를 확인할 수 없는 분업 구조에 있습니다.</w:t>
      </w:r>
    </w:p>
    <w:p>
      <w:pPr>
        <w:keepNext/>
        <w:spacing w:after="90" w:before="220"/>
      </w:pPr>
      <w:r>
        <w:rPr>
          <w:rFonts w:ascii="맑은 고딕" w:cs="맑은 고딕" w:eastAsia="맑은 고딕" w:hAnsi="맑은 고딕"/>
          <w:b/>
          <w:bCs/>
          <w:color w:val="1F3864"/>
          <w:sz w:val="18"/>
          <w:szCs w:val="18"/>
        </w:rPr>
        <w:t xml:space="preserve">[표 2-1]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시행사는 "투자한 예산이 어떤 경로로 계약에 기여했는가"를 확인할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분석·광고·현장 영업이 분업되어 관점·데이터·예산 정보가 주체별로 단절되어 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구조를 네 개 단면(관점의 어긋남, 데이터 단절, 예산 불투명, 증빙 편향)으로 진단한다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문제의 소재가 특정되고, 해결 수단이 갖춰야 할 요건(전 구간 연결)이 도출된다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2.1 진단의 출발점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시행사가 원하는 것은 광고 결과표가 아니라 </w:t>
      </w:r>
      <w:r>
        <w:rPr>
          <w:rFonts w:ascii="맑은 고딕" w:cs="맑은 고딕" w:eastAsia="맑은 고딕" w:hAnsi="맑은 고딕"/>
          <w:b/>
          <w:bCs/>
          <w:i w:val="false"/>
          <w:iCs w:val="false"/>
          <w:color w:val="1A1A1A"/>
          <w:sz w:val="20"/>
          <w:szCs w:val="20"/>
        </w:rPr>
        <w:t xml:space="preserve">투자한 예산이 실제 매체, 고객 유입, 상담, 방문, 계약에 어떤 경로로 기여했는지의 확인</w:t>
      </w:r>
      <w:r>
        <w:rPr>
          <w:rFonts w:ascii="맑은 고딕" w:cs="맑은 고딕" w:eastAsia="맑은 고딕" w:hAnsi="맑은 고딕"/>
          <w:b w:val="false"/>
          <w:bCs w:val="false"/>
          <w:i w:val="false"/>
          <w:iCs w:val="false"/>
          <w:color w:val="1A1A1A"/>
          <w:sz w:val="20"/>
          <w:szCs w:val="20"/>
        </w:rPr>
        <w:t xml:space="preserve">입니다. 다수 현장의 현실은 이와 다릅니다.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견적서와 세금계산서는 남지만, 매체별 실제 사용 금액과 광고계정 화면은 확인하기 어렵습니다.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광고 DB를 누가 언제 어떻게 처리했는지는 별도 보고를 요청해야만 확인됩니다.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계약이 발생해도 그 고객이 어떤 광고를 보고 들어왔는지 소급할 수 없습니다.</w:t>
      </w:r>
    </w:p>
    <w:p>
      <w:pPr>
        <w:spacing w:after="1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간극은 특정 업체의 불성실에서 발생하는 것이 아닙니다. 분석·광고·현장 영업이 분리된 구조에서 각 주체는 자기 영역을 성실히 수행하더라도, </w:t>
      </w:r>
      <w:r>
        <w:rPr>
          <w:rFonts w:ascii="맑은 고딕" w:cs="맑은 고딕" w:eastAsia="맑은 고딕" w:hAnsi="맑은 고딕"/>
          <w:b/>
          <w:bCs/>
          <w:i w:val="false"/>
          <w:iCs w:val="false"/>
          <w:color w:val="1A1A1A"/>
          <w:sz w:val="20"/>
          <w:szCs w:val="20"/>
        </w:rPr>
        <w:t xml:space="preserve">영역 간 데이터가 연결되지 않으므로 전체 경로를 아는 주체가 존재하지 않습니다.</w:t>
      </w:r>
    </w:p>
    <w:p>
      <w:pPr>
        <w:pStyle w:val="Heading2"/>
        <w:keepNext/>
        <w:spacing w:after="140" w:before="300"/>
      </w:pPr>
      <w:r>
        <w:rPr>
          <w:rFonts w:ascii="맑은 고딕" w:cs="맑은 고딕" w:eastAsia="맑은 고딕" w:hAnsi="맑은 고딕"/>
          <w:b/>
          <w:bCs/>
          <w:color w:val="1A1A1A"/>
          <w:sz w:val="23"/>
          <w:szCs w:val="23"/>
        </w:rPr>
        <w:t xml:space="preserve">2.2 단면 ① — 현장의 강점과 고객의 질문이 어긋나 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오늘의 수요자는 모델하우스 방문 전에 실거래가를 조회하고, 커뮤니티에서 경쟁 현장을 비교하며, 대출 한도를 계산한 상태로 도착합니다.</w:t>
      </w:r>
    </w:p>
    <w:p>
      <w:pPr>
        <w:keepNext/>
        <w:spacing w:after="90" w:before="220"/>
      </w:pPr>
      <w:r>
        <w:rPr>
          <w:rFonts w:ascii="맑은 고딕" w:cs="맑은 고딕" w:eastAsia="맑은 고딕" w:hAnsi="맑은 고딕"/>
          <w:b/>
          <w:bCs/>
          <w:color w:val="1F3864"/>
          <w:sz w:val="18"/>
          <w:szCs w:val="18"/>
        </w:rPr>
        <w:t xml:space="preserve">[표 2-2] 현장이 말하는 것과 고객이 묻는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5"/>
        <w:gridCol w:w="7453"/>
      </w:tblGrid>
      <w:tr>
        <w:trPr>
          <w:cantSplit/>
          <w:tblHeader/>
        </w:trPr>
        <w:tc>
          <w:tcPr>
            <w:tcW w:type="dxa" w:w="218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현장이 말하는 것</w:t>
            </w:r>
          </w:p>
        </w:tc>
        <w:tc>
          <w:tcPr>
            <w:tcW w:type="dxa" w:w="74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고객이 실제로 묻는 것</w:t>
            </w:r>
          </w:p>
        </w:tc>
      </w:tr>
      <w:tr>
        <w:trPr>
          <w:cantSplit/>
          <w:tblHeader w:val="false"/>
        </w:trPr>
        <w:tc>
          <w:tcPr>
            <w:tcW w:type="dxa" w:w="218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역세권·개발호재</w:t>
            </w:r>
          </w:p>
        </w:tc>
        <w:tc>
          <w:tcPr>
            <w:tcW w:type="dxa" w:w="7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실제로 어느 단계까지 진행됐고, 입주 시점에 체감 가능한가?</w:t>
            </w:r>
          </w:p>
        </w:tc>
      </w:tr>
      <w:tr>
        <w:trPr>
          <w:cantSplit/>
          <w:tblHeader w:val="false"/>
        </w:trPr>
        <w:tc>
          <w:tcPr>
            <w:tcW w:type="dxa" w:w="218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특별혜택·계약조건</w:t>
            </w:r>
          </w:p>
        </w:tc>
        <w:tc>
          <w:tcPr>
            <w:tcW w:type="dxa" w:w="7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총취득원가는 얼마이며, 주변 대안보다 합리적인가?</w:t>
            </w:r>
          </w:p>
        </w:tc>
      </w:tr>
      <w:tr>
        <w:trPr>
          <w:cantSplit/>
          <w:tblHeader w:val="false"/>
        </w:trPr>
        <w:tc>
          <w:tcPr>
            <w:tcW w:type="dxa" w:w="218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미래가치</w:t>
            </w:r>
          </w:p>
        </w:tc>
        <w:tc>
          <w:tcPr>
            <w:tcW w:type="dxa" w:w="7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상승 전제와 하락 위험을 함께 봤을 때 어떤 판단이 가능한가?</w:t>
            </w:r>
          </w:p>
        </w:tc>
      </w:tr>
      <w:tr>
        <w:trPr>
          <w:cantSplit/>
          <w:tblHeader w:val="false"/>
        </w:trPr>
        <w:tc>
          <w:tcPr>
            <w:tcW w:type="dxa" w:w="218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입지 우수성</w:t>
            </w:r>
          </w:p>
        </w:tc>
        <w:tc>
          <w:tcPr>
            <w:tcW w:type="dxa" w:w="7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누가 실제로 유입될 수 있고, 생활권이 어떻게 달라지는가?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논리가 정리되지 않으면 광고는 혜택·호재·마감 문구를 반복하게 됩니다. 이 문구들은 </w:t>
      </w:r>
      <w:r>
        <w:rPr>
          <w:rFonts w:ascii="맑은 고딕" w:cs="맑은 고딕" w:eastAsia="맑은 고딕" w:hAnsi="맑은 고딕"/>
          <w:b/>
          <w:bCs/>
          <w:i w:val="false"/>
          <w:iCs w:val="false"/>
          <w:color w:val="1A1A1A"/>
          <w:sz w:val="20"/>
          <w:szCs w:val="20"/>
        </w:rPr>
        <w:t xml:space="preserve">가격을 진지하게 검토하는 고객, 즉 계약에 가장 가까운 고객의 질문에 답하지 못합니다.</w:t>
      </w:r>
    </w:p>
    <w:p>
      <w:pPr>
        <w:pStyle w:val="Heading2"/>
        <w:keepNext/>
        <w:spacing w:after="140" w:before="300"/>
      </w:pPr>
      <w:r>
        <w:rPr>
          <w:rFonts w:ascii="맑은 고딕" w:cs="맑은 고딕" w:eastAsia="맑은 고딕" w:hAnsi="맑은 고딕"/>
          <w:b/>
          <w:bCs/>
          <w:color w:val="1A1A1A"/>
          <w:sz w:val="23"/>
          <w:szCs w:val="23"/>
        </w:rPr>
        <w:t xml:space="preserve">2.3 단면 ② — 광고 데이터와 현장 영업 데이터가 끊겨 있다</w:t>
      </w:r>
    </w:p>
    <w:p>
      <w:pPr>
        <w:keepNext/>
        <w:spacing w:after="90" w:before="220"/>
      </w:pPr>
      <w:r>
        <w:rPr>
          <w:rFonts w:ascii="맑은 고딕" w:cs="맑은 고딕" w:eastAsia="맑은 고딕" w:hAnsi="맑은 고딕"/>
          <w:b/>
          <w:bCs/>
          <w:color w:val="1F3864"/>
          <w:sz w:val="18"/>
          <w:szCs w:val="18"/>
        </w:rPr>
        <w:t xml:space="preserve">[표 2-3] 두 영역이 보유한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9"/>
        <w:gridCol w:w="4949"/>
      </w:tblGrid>
      <w:tr>
        <w:trPr>
          <w:cantSplit/>
          <w:tblHeader/>
        </w:trPr>
        <w:tc>
          <w:tcPr>
            <w:tcW w:type="dxa" w:w="46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 영역</w:t>
            </w:r>
          </w:p>
        </w:tc>
        <w:tc>
          <w:tcPr>
            <w:tcW w:type="dxa" w:w="49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영업 영역</w:t>
            </w:r>
          </w:p>
        </w:tc>
      </w:tr>
      <w:tr>
        <w:trPr>
          <w:cantSplit/>
          <w:tblHeader w:val="false"/>
        </w:trPr>
        <w:tc>
          <w:tcPr>
            <w:tcW w:type="dxa" w:w="46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노출·클릭·DB 건수</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이력·상담 내용</w:t>
            </w:r>
          </w:p>
        </w:tc>
      </w:tr>
      <w:tr>
        <w:trPr>
          <w:cantSplit/>
          <w:tblHeader w:val="false"/>
        </w:trPr>
        <w:tc>
          <w:tcPr>
            <w:tcW w:type="dxa" w:w="46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캠페인·소재별 성과</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감도·거절 사유</w:t>
            </w:r>
          </w:p>
        </w:tc>
      </w:tr>
      <w:tr>
        <w:trPr>
          <w:cantSplit/>
          <w:tblHeader w:val="false"/>
        </w:trPr>
        <w:tc>
          <w:tcPr>
            <w:tcW w:type="dxa" w:w="46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DB당 광고비</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예약·실제 방문</w:t>
            </w:r>
          </w:p>
        </w:tc>
      </w:tr>
      <w:tr>
        <w:trPr>
          <w:cantSplit/>
          <w:tblHeader w:val="false"/>
        </w:trPr>
        <w:tc>
          <w:tcPr>
            <w:tcW w:type="dxa" w:w="46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리드</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검토·계약 완료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두 데이터가 연결되지 않을 때 발생하는 손실은 세 가지입니다.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첫째, 싼 DB와 방문 가능한 DB를 구분하지 못합니다.</w:t>
      </w:r>
      <w:r>
        <w:rPr>
          <w:rFonts w:ascii="맑은 고딕" w:cs="맑은 고딕" w:eastAsia="맑은 고딕" w:hAnsi="맑은 고딕"/>
          <w:b w:val="false"/>
          <w:bCs w:val="false"/>
          <w:i w:val="false"/>
          <w:iCs w:val="false"/>
          <w:color w:val="1A1A1A"/>
          <w:sz w:val="20"/>
          <w:szCs w:val="20"/>
        </w:rPr>
        <w:t xml:space="preserve"> DB 단가가 낮은 채널이 우수한 채널로 평가되지만, 그 DB가 상담·방문으로 이어지는지는 측정되지 않습니다.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둘째, 광고비가 계약에 연결됐는지 확인할 수 없습니다.</w:t>
      </w:r>
      <w:r>
        <w:rPr>
          <w:rFonts w:ascii="맑은 고딕" w:cs="맑은 고딕" w:eastAsia="맑은 고딕" w:hAnsi="맑은 고딕"/>
          <w:b w:val="false"/>
          <w:bCs w:val="false"/>
          <w:i w:val="false"/>
          <w:iCs w:val="false"/>
          <w:color w:val="1A1A1A"/>
          <w:sz w:val="20"/>
          <w:szCs w:val="20"/>
        </w:rPr>
        <w:t xml:space="preserve"> 어떤 소재가 계약 고객을 유입시켰는지 모르므로, 잘된 것을 늘리고 안 된 것을 줄이는 기본적인 최적화가 불가능합니다.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셋째, DB 처리 상태가 담당자 개인에게 귀속됩니다.</w:t>
      </w:r>
      <w:r>
        <w:rPr>
          <w:rFonts w:ascii="맑은 고딕" w:cs="맑은 고딕" w:eastAsia="맑은 고딕" w:hAnsi="맑은 고딕"/>
          <w:b w:val="false"/>
          <w:bCs w:val="false"/>
          <w:i w:val="false"/>
          <w:iCs w:val="false"/>
          <w:color w:val="1A1A1A"/>
          <w:sz w:val="20"/>
          <w:szCs w:val="20"/>
        </w:rPr>
        <w:t xml:space="preserve"> 엑셀·메신저로 전달된 이후 연락 누락과 지연이 관리 사각지대에서 발생하며, 인력 이탈 시 해당 고객군의 이력이 소멸합니다.</w:t>
      </w:r>
    </w:p>
    <w:p>
      <w:pPr>
        <w:pStyle w:val="Heading2"/>
        <w:keepNext/>
        <w:spacing w:after="140" w:before="300"/>
      </w:pPr>
      <w:r>
        <w:rPr>
          <w:rFonts w:ascii="맑은 고딕" w:cs="맑은 고딕" w:eastAsia="맑은 고딕" w:hAnsi="맑은 고딕"/>
          <w:b/>
          <w:bCs/>
          <w:color w:val="1A1A1A"/>
          <w:sz w:val="23"/>
          <w:szCs w:val="23"/>
        </w:rPr>
        <w:t xml:space="preserve">2.4 단면 ③ — 광고비의 사용처가 검증되지 않는다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예산 불투명성은 독립적인 구조 문제입니다.</w:t>
      </w:r>
    </w:p>
    <w:p>
      <w:pPr>
        <w:keepNext/>
        <w:spacing w:after="90" w:before="220"/>
      </w:pPr>
      <w:r>
        <w:rPr>
          <w:rFonts w:ascii="맑은 고딕" w:cs="맑은 고딕" w:eastAsia="맑은 고딕" w:hAnsi="맑은 고딕"/>
          <w:b/>
          <w:bCs/>
          <w:color w:val="1F3864"/>
          <w:sz w:val="18"/>
          <w:szCs w:val="18"/>
        </w:rPr>
        <w:t xml:space="preserve">[표 2-4] 예산 통제가 어려운 지점</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현상</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 확인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견적서·세금계산서만 발행되고 실제 매체 집행 내역은 확인 곤란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비용 구분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광고비·대행수수료·콘텐츠 제작비가 한 금액으로 제시되어 동일 조건 비교 불가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접근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접근 권한이 제공되지 않거나 가공된 결과 리포트만 전달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추적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캠페인별 기간, 일별 사용액, 충전 내역, 잔여 예산의 확인 곤란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견적-실집행 차이</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 금액과 실제 매체 집행 금액 사이의 차이 발생 가능</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1+1 광고비 지원 구조</w:t>
      </w:r>
      <w:r>
        <w:rPr>
          <w:rFonts w:ascii="맑은 고딕" w:cs="맑은 고딕" w:eastAsia="맑은 고딕" w:hAnsi="맑은 고딕"/>
          <w:b w:val="false"/>
          <w:bCs w:val="false"/>
          <w:i w:val="false"/>
          <w:iCs w:val="false"/>
          <w:color w:val="1A1A1A"/>
          <w:sz w:val="20"/>
          <w:szCs w:val="20"/>
        </w:rPr>
        <w:t xml:space="preserve">에서는 이 문제가 증폭됩니다. 직원·팀이 광고비를 부담하면 현장·본부가 동액을 지원하는 방식은 현장 참여를 높이는 장점이 있으나, 부담금과 지원금, 수수료, 제작비, 실집행액이 한 견적서에 혼재되면 정산 통제가 약해집니다.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문제의 본질은 지원 제도 자체가 아니라 </w:t>
      </w:r>
      <w:r>
        <w:rPr>
          <w:rFonts w:ascii="맑은 고딕" w:cs="맑은 고딕" w:eastAsia="맑은 고딕" w:hAnsi="맑은 고딕"/>
          <w:b/>
          <w:bCs/>
          <w:i w:val="false"/>
          <w:iCs w:val="false"/>
          <w:color w:val="1A1A1A"/>
          <w:sz w:val="20"/>
          <w:szCs w:val="20"/>
        </w:rPr>
        <w:t xml:space="preserve">"누가 부담했고, 어떤 매체에 언제 얼마가 집행됐으며, 잔액이 어떻게 처리됐는가"가 추적되지 않는다는 점</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2.5 단면 ④ — 증빙 편향이 예산 배분을 왜곡한다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발송 건수 확인이 쉬운 매체에 예산이 집중되는 현상이 관찰됩니다. LMS는 발송량과 단가가 명확히 증빙되므로 예산 소진과 보고에 유리하지만, 그 발송이 상담 연결·방문·계약으로 이어졌는지는 별도로 측정되지 않습니다.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 결과 운영 목표가 </w:t>
      </w:r>
      <w:r>
        <w:rPr>
          <w:rFonts w:ascii="맑은 고딕" w:cs="맑은 고딕" w:eastAsia="맑은 고딕" w:hAnsi="맑은 고딕"/>
          <w:b/>
          <w:bCs/>
          <w:i w:val="false"/>
          <w:iCs w:val="false"/>
          <w:color w:val="1A1A1A"/>
          <w:sz w:val="20"/>
          <w:szCs w:val="20"/>
        </w:rPr>
        <w:t xml:space="preserve">신규 수요 발굴에서 단기 증빙 확보로 이동</w:t>
      </w:r>
      <w:r>
        <w:rPr>
          <w:rFonts w:ascii="맑은 고딕" w:cs="맑은 고딕" w:eastAsia="맑은 고딕" w:hAnsi="맑은 고딕"/>
          <w:b w:val="false"/>
          <w:bCs w:val="false"/>
          <w:i w:val="false"/>
          <w:iCs w:val="false"/>
          <w:color w:val="1A1A1A"/>
          <w:sz w:val="20"/>
          <w:szCs w:val="20"/>
        </w:rPr>
        <w:t xml:space="preserve">합니다. 이는 개별 담당자의 판단 오류가 아니라, 증빙 가능한 것만 평가되는 구조가 유도하는 결과입니다.</w:t>
      </w:r>
    </w:p>
    <w:p>
      <w:pPr>
        <w:pStyle w:val="Heading2"/>
        <w:keepNext/>
        <w:spacing w:after="140" w:before="300"/>
      </w:pPr>
      <w:r>
        <w:rPr>
          <w:rFonts w:ascii="맑은 고딕" w:cs="맑은 고딕" w:eastAsia="맑은 고딕" w:hAnsi="맑은 고딕"/>
          <w:b/>
          <w:bCs/>
          <w:color w:val="1A1A1A"/>
          <w:sz w:val="23"/>
          <w:szCs w:val="23"/>
        </w:rPr>
        <w:t xml:space="preserve">2.6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현장에서 필요한 증빙은 견적서가 아닙니다. </w:t>
      </w:r>
      <w:r>
        <w:rPr>
          <w:rFonts w:ascii="맑은 고딕" w:cs="맑은 고딕" w:eastAsia="맑은 고딕" w:hAnsi="맑은 고딕"/>
          <w:b/>
          <w:bCs/>
          <w:i w:val="false"/>
          <w:iCs w:val="false"/>
          <w:color w:val="1A1A1A"/>
          <w:sz w:val="20"/>
          <w:szCs w:val="20"/>
        </w:rPr>
        <w:t xml:space="preserve">실제로 어느 매체에 얼마가 사용됐고, 어떤 고객이 유입됐으며, 그 고객이 상담·방문·계약으로 어떻게 이동했는지</w:t>
      </w:r>
      <w:r>
        <w:rPr>
          <w:rFonts w:ascii="맑은 고딕" w:cs="맑은 고딕" w:eastAsia="맑은 고딕" w:hAnsi="맑은 고딕"/>
          <w:b w:val="false"/>
          <w:bCs w:val="false"/>
          <w:i w:val="false"/>
          <w:iCs w:val="false"/>
          <w:color w:val="1A1A1A"/>
          <w:sz w:val="20"/>
          <w:szCs w:val="20"/>
        </w:rPr>
        <w:t xml:space="preserve">를 확인할 수 있어야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확인이 가능한 구조와 불가능한 구조의 차이가, 제3장에서 다룰 광고 실패 사이클의 원인입니다.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제3장. 기존 분양광고가 실패하는 이유</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광고는 소재나 매체에서가 아니라, 광고의 앞(근거)과 뒤(전환·학습)에서 실패합니다.</w:t>
      </w:r>
    </w:p>
    <w:p>
      <w:pPr>
        <w:keepNext/>
        <w:spacing w:after="90" w:before="220"/>
      </w:pPr>
      <w:r>
        <w:rPr>
          <w:rFonts w:ascii="맑은 고딕" w:cs="맑은 고딕" w:eastAsia="맑은 고딕" w:hAnsi="맑은 고딕"/>
          <w:b/>
          <w:bCs/>
          <w:color w:val="1F3864"/>
          <w:sz w:val="18"/>
          <w:szCs w:val="18"/>
        </w:rPr>
        <w:t xml:space="preserve">[표 3-1]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예산을 증액하고 소재를 교체해도 계약이 늘지 않는다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전 근거 부재 → 광고 중 지표 오류 → 광고 후 데이터 단절 → 학습 부재의 4단계 사이클이 반복된다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지점을 단계별로 분해하고, 원인(광고·가격·상담·수요)을 구분할 데이터 요건을 정의한다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부분 교체가 아니라 전 구간 연결이 필요하다는 해법의 요건이 확정된다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3.1 4단계 실패 사이클</w:t>
      </w:r>
    </w:p>
    <w:p>
      <w:pPr>
        <w:keepNext/>
        <w:spacing w:after="90" w:before="220"/>
      </w:pPr>
      <w:r>
        <w:rPr>
          <w:rFonts w:ascii="맑은 고딕" w:cs="맑은 고딕" w:eastAsia="맑은 고딕" w:hAnsi="맑은 고딕"/>
          <w:b/>
          <w:bCs/>
          <w:color w:val="1F3864"/>
          <w:sz w:val="18"/>
          <w:szCs w:val="18"/>
        </w:rPr>
        <w:t xml:space="preserve">[표 3-2] 단계별 실패 양상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3"/>
        <w:gridCol w:w="5025"/>
        <w:gridCol w:w="3460"/>
      </w:tblGrid>
      <w:tr>
        <w:trPr>
          <w:cantSplit/>
          <w:tblHeader/>
        </w:trPr>
        <w:tc>
          <w:tcPr>
            <w:tcW w:type="dxa" w:w="11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50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실패 양상</w:t>
            </w:r>
          </w:p>
        </w:tc>
        <w:tc>
          <w:tcPr>
            <w:tcW w:type="dxa" w:w="34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결과</w:t>
            </w:r>
          </w:p>
        </w:tc>
      </w:tr>
      <w:tr>
        <w:trPr>
          <w:cantSplit/>
          <w:tblHeader w:val="false"/>
        </w:trPr>
        <w:tc>
          <w:tcPr>
            <w:tcW w:type="dxa" w:w="11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광고 전</w:t>
            </w:r>
          </w:p>
        </w:tc>
        <w:tc>
          <w:tcPr>
            <w:tcW w:type="dxa" w:w="50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팔릴 근거가 정리되지 않음. 현장분석이 기본 분양정보 확인 수준</w:t>
            </w:r>
          </w:p>
        </w:tc>
        <w:tc>
          <w:tcPr>
            <w:tcW w:type="dxa" w:w="3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문구가 혜택·입지·마감의 반복으로 수렴</w:t>
            </w:r>
          </w:p>
        </w:tc>
      </w:tr>
      <w:tr>
        <w:trPr>
          <w:cantSplit/>
          <w:tblHeader w:val="false"/>
        </w:trPr>
        <w:tc>
          <w:tcPr>
            <w:tcW w:type="dxa" w:w="11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광고 중</w:t>
            </w:r>
          </w:p>
        </w:tc>
        <w:tc>
          <w:tcPr>
            <w:tcW w:type="dxa" w:w="50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클릭과 DB 단가만 평가. 방문·계약 가능성과 무관한 지표로 운영</w:t>
            </w:r>
          </w:p>
        </w:tc>
        <w:tc>
          <w:tcPr>
            <w:tcW w:type="dxa" w:w="3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저의도 유입 증가, 현장 상담 인력 소모</w:t>
            </w:r>
          </w:p>
        </w:tc>
      </w:tr>
      <w:tr>
        <w:trPr>
          <w:cantSplit/>
          <w:tblHeader w:val="false"/>
        </w:trPr>
        <w:tc>
          <w:tcPr>
            <w:tcW w:type="dxa" w:w="11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광고 후</w:t>
            </w:r>
          </w:p>
        </w:tc>
        <w:tc>
          <w:tcPr>
            <w:tcW w:type="dxa" w:w="50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상담·방문·계약과 분리. 광고의 책임이 DB 전달에서 종료</w:t>
            </w:r>
          </w:p>
        </w:tc>
        <w:tc>
          <w:tcPr>
            <w:tcW w:type="dxa" w:w="3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근거가 통했는지 확인 불가</w:t>
            </w:r>
          </w:p>
        </w:tc>
      </w:tr>
      <w:tr>
        <w:trPr>
          <w:cantSplit/>
          <w:tblHeader w:val="false"/>
        </w:trPr>
        <w:tc>
          <w:tcPr>
            <w:tcW w:type="dxa" w:w="11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다음 캠페인</w:t>
            </w:r>
          </w:p>
        </w:tc>
        <w:tc>
          <w:tcPr>
            <w:tcW w:type="dxa" w:w="50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원인을 모른 채 반복. 소재 교체가 유일한 개선 수단</w:t>
            </w:r>
          </w:p>
        </w:tc>
        <w:tc>
          <w:tcPr>
            <w:tcW w:type="dxa" w:w="3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동일한 문제가 재발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3.2 실패는 업무 범위 정의의 구조적 귀결이다</w:t>
      </w:r>
    </w:p>
    <w:p>
      <w:pPr>
        <w:keepNext/>
        <w:spacing w:after="90" w:before="220"/>
      </w:pPr>
      <w:r>
        <w:rPr>
          <w:rFonts w:ascii="맑은 고딕" w:cs="맑은 고딕" w:eastAsia="맑은 고딕" w:hAnsi="맑은 고딕"/>
          <w:b/>
          <w:bCs/>
          <w:color w:val="1F3864"/>
          <w:sz w:val="18"/>
          <w:szCs w:val="18"/>
        </w:rPr>
        <w:t xml:space="preserve">[그림 3-1] 전통적 대행의 업무 범위와 실패 지점의 대응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대행의 업무 범위: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구조적으로 비어 있는 구간:</w:t>
            </w:r>
          </w:p>
          <w:p>
            <w:pPr>
              <w:spacing w:after="0" w:before="0" w:line="240"/>
              <w:jc w:val="left"/>
            </w:pPr>
            <w:r>
              <w:rPr>
                <w:rFonts w:ascii="굴림체" w:cs="굴림체" w:eastAsia="굴림체" w:hAnsi="굴림체"/>
                <w:color w:val="1A1A1A"/>
                <w:sz w:val="16"/>
                <w:szCs w:val="16"/>
              </w:rPr>
              <w:t xml:space="preserve">   [광고 전]  근거를 검증하는 단계가 없음        → 실패 ①</w:t>
            </w:r>
          </w:p>
          <w:p>
            <w:pPr>
              <w:spacing w:after="0" w:before="0" w:line="240"/>
              <w:jc w:val="left"/>
            </w:pPr>
            <w:r>
              <w:rPr>
                <w:rFonts w:ascii="굴림체" w:cs="굴림체" w:eastAsia="굴림체" w:hAnsi="굴림체"/>
                <w:color w:val="1A1A1A"/>
                <w:sz w:val="16"/>
                <w:szCs w:val="16"/>
              </w:rPr>
              <w:t xml:space="preserve">   [광고 중]  평가 기준이 DB 수량·단가뿐          → 실패 ②</w:t>
            </w:r>
          </w:p>
          <w:p>
            <w:pPr>
              <w:spacing w:after="0" w:before="0" w:line="240"/>
              <w:jc w:val="left"/>
            </w:pPr>
            <w:r>
              <w:rPr>
                <w:rFonts w:ascii="굴림체" w:cs="굴림체" w:eastAsia="굴림체" w:hAnsi="굴림체"/>
                <w:color w:val="1A1A1A"/>
                <w:sz w:val="16"/>
                <w:szCs w:val="16"/>
              </w:rPr>
              <w:t xml:space="preserve">   [광고 후]  전달 이후의 책임과 데이터가 없음     → 실패 ③</w:t>
            </w:r>
          </w:p>
          <w:p>
            <w:pPr>
              <w:spacing w:after="0" w:before="0" w:line="240"/>
              <w:jc w:val="left"/>
            </w:pPr>
            <w:r>
              <w:rPr>
                <w:rFonts w:ascii="굴림체" w:cs="굴림체" w:eastAsia="굴림체" w:hAnsi="굴림체"/>
                <w:color w:val="1A1A1A"/>
                <w:sz w:val="16"/>
                <w:szCs w:val="16"/>
              </w:rPr>
              <w:t xml:space="preserve">   [다음 주기] 결과 데이터가 없어 학습이 불가능     → 실패 ④</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대행사가 불성실해서가 아니라, </w:t>
      </w:r>
      <w:r>
        <w:rPr>
          <w:rFonts w:ascii="맑은 고딕" w:cs="맑은 고딕" w:eastAsia="맑은 고딕" w:hAnsi="맑은 고딕"/>
          <w:b/>
          <w:bCs/>
          <w:i w:val="false"/>
          <w:iCs w:val="false"/>
          <w:color w:val="1A1A1A"/>
          <w:sz w:val="20"/>
          <w:szCs w:val="20"/>
        </w:rPr>
        <w:t xml:space="preserve">업무 범위가 DB 전달에서 종료되도록 정의되어 있기 때문에</w:t>
      </w:r>
      <w:r>
        <w:rPr>
          <w:rFonts w:ascii="맑은 고딕" w:cs="맑은 고딕" w:eastAsia="맑은 고딕" w:hAnsi="맑은 고딕"/>
          <w:b w:val="false"/>
          <w:bCs w:val="false"/>
          <w:i w:val="false"/>
          <w:iCs w:val="false"/>
          <w:color w:val="1A1A1A"/>
          <w:sz w:val="20"/>
          <w:szCs w:val="20"/>
        </w:rPr>
        <w:t xml:space="preserve"> 네 가지 실패가 반복됩니다. 이 점이 본 제안의 출발점입니다. 문제는 수행 품질이 아니라 범위 설계에 있습니다.</w:t>
      </w:r>
    </w:p>
    <w:p>
      <w:pPr>
        <w:pStyle w:val="Heading2"/>
        <w:keepNext/>
        <w:spacing w:after="140" w:before="300"/>
      </w:pPr>
      <w:r>
        <w:rPr>
          <w:rFonts w:ascii="맑은 고딕" w:cs="맑은 고딕" w:eastAsia="맑은 고딕" w:hAnsi="맑은 고딕"/>
          <w:b/>
          <w:bCs/>
          <w:color w:val="1A1A1A"/>
          <w:sz w:val="23"/>
          <w:szCs w:val="23"/>
        </w:rPr>
        <w:t xml:space="preserve">3.3 근거 없는 메시지의 이중 비용</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전 단계의 실패(①)는 두 번 비용을 발생시킵니다.</w:t>
      </w:r>
    </w:p>
    <w:p>
      <w:pPr>
        <w:keepNext/>
        <w:spacing w:after="90" w:before="220"/>
      </w:pPr>
      <w:r>
        <w:rPr>
          <w:rFonts w:ascii="맑은 고딕" w:cs="맑은 고딕" w:eastAsia="맑은 고딕" w:hAnsi="맑은 고딕"/>
          <w:b/>
          <w:bCs/>
          <w:color w:val="1F3864"/>
          <w:sz w:val="18"/>
          <w:szCs w:val="18"/>
        </w:rPr>
        <w:t xml:space="preserve">[표 3-3] 근거 부재가 발생시키는 비용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시점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단계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반대근거를 다루지 않은 혜택·호재 중심 문구는 가격 저항을 해소하지 못해 유효 수요를 놓침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단계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광고에서 형성된 기대와 현실의 격차가 확인되면서 신뢰가 훼손됨. 손실이 개별 계약을 넘어 현장 평판으로 확산</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3.4 잘못된 평가 지표의 유도 효과</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지표는 행동을 유도합니다. DB 단가로 평가받는 운영자는 DB 단가를 낮추는 방향으로 움직입니다.</w:t>
      </w:r>
    </w:p>
    <w:p>
      <w:pPr>
        <w:keepNext/>
        <w:spacing w:after="90" w:before="220"/>
      </w:pPr>
      <w:r>
        <w:rPr>
          <w:rFonts w:ascii="맑은 고딕" w:cs="맑은 고딕" w:eastAsia="맑은 고딕" w:hAnsi="맑은 고딕"/>
          <w:b/>
          <w:bCs/>
          <w:color w:val="1F3864"/>
          <w:sz w:val="18"/>
          <w:szCs w:val="18"/>
        </w:rPr>
        <w:t xml:space="preserve">[표 3-4] DB 단가 중심 평가가 유도하는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0"/>
        <w:gridCol w:w="6378"/>
      </w:tblGrid>
      <w:tr>
        <w:trPr>
          <w:cantSplit/>
          <w:tblHeader/>
        </w:trPr>
        <w:tc>
          <w:tcPr>
            <w:tcW w:type="dxa" w:w="32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운영자의 합리적 대응</w:t>
            </w:r>
          </w:p>
        </w:tc>
        <w:tc>
          <w:tcPr>
            <w:tcW w:type="dxa" w:w="637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발생하는 결과</w:t>
            </w:r>
          </w:p>
        </w:tc>
      </w:tr>
      <w:tr>
        <w:trPr>
          <w:cantSplit/>
          <w:tblHeader w:val="false"/>
        </w:trPr>
        <w:tc>
          <w:tcPr>
            <w:tcW w:type="dxa" w:w="3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경품·이벤트성 유입 확대</w:t>
            </w:r>
          </w:p>
        </w:tc>
        <w:tc>
          <w:tcPr>
            <w:tcW w:type="dxa" w:w="637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수량 증가, 유효 DB 비율 하락</w:t>
            </w:r>
          </w:p>
        </w:tc>
      </w:tr>
      <w:tr>
        <w:trPr>
          <w:cantSplit/>
          <w:tblHeader w:val="false"/>
        </w:trPr>
        <w:tc>
          <w:tcPr>
            <w:tcW w:type="dxa" w:w="3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저의도 광범위 타깃 확대</w:t>
            </w:r>
          </w:p>
        </w:tc>
        <w:tc>
          <w:tcPr>
            <w:tcW w:type="dxa" w:w="637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인력의 응대 시간 소모</w:t>
            </w:r>
          </w:p>
        </w:tc>
      </w:tr>
      <w:tr>
        <w:trPr>
          <w:cantSplit/>
          <w:tblHeader w:val="false"/>
        </w:trPr>
        <w:tc>
          <w:tcPr>
            <w:tcW w:type="dxa" w:w="3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고의도 검색 수요 축소</w:t>
            </w:r>
          </w:p>
        </w:tc>
        <w:tc>
          <w:tcPr>
            <w:tcW w:type="dxa" w:w="637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단가는 높지만 계약 기여가 큰 채널이 감액됨</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평가 지표가 계약과 연결되어 있지 않으면, </w:t>
      </w:r>
      <w:r>
        <w:rPr>
          <w:rFonts w:ascii="맑은 고딕" w:cs="맑은 고딕" w:eastAsia="맑은 고딕" w:hAnsi="맑은 고딕"/>
          <w:b/>
          <w:bCs/>
          <w:i w:val="false"/>
          <w:iCs w:val="false"/>
          <w:color w:val="1A1A1A"/>
          <w:sz w:val="20"/>
          <w:szCs w:val="20"/>
        </w:rPr>
        <w:t xml:space="preserve">성실한 운영조차 잘못된 방향으로 최적화됩니다.</w:t>
      </w:r>
    </w:p>
    <w:p>
      <w:pPr>
        <w:pStyle w:val="Heading2"/>
        <w:keepNext/>
        <w:spacing w:after="140" w:before="300"/>
      </w:pPr>
      <w:r>
        <w:rPr>
          <w:rFonts w:ascii="맑은 고딕" w:cs="맑은 고딕" w:eastAsia="맑은 고딕" w:hAnsi="맑은 고딕"/>
          <w:b/>
          <w:bCs/>
          <w:color w:val="1A1A1A"/>
          <w:sz w:val="23"/>
          <w:szCs w:val="23"/>
        </w:rPr>
        <w:t xml:space="preserve">3.5 최종적 실패 — 원인을 구분할 수 없다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부진 현장에서 물어야 할 질문은 네 가지입니다. </w:t>
      </w:r>
      <w:r>
        <w:rPr>
          <w:rFonts w:ascii="맑은 고딕" w:cs="맑은 고딕" w:eastAsia="맑은 고딕" w:hAnsi="맑은 고딕"/>
          <w:b/>
          <w:bCs/>
          <w:i w:val="false"/>
          <w:iCs w:val="false"/>
          <w:color w:val="1A1A1A"/>
          <w:sz w:val="20"/>
          <w:szCs w:val="20"/>
        </w:rPr>
        <w:t xml:space="preserve">광고의 문제인가, 가격의 문제인가, 상담의 문제인가, 수요 자체의 문제인가.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4단계 실패 사이클 안에서는 이 질문에 답할 데이터가 존재하지 않습니다. 그 결과 대응은 추정에 의존하게 되고, 가격을 조정해야 할 국면에 판촉을 늘리거나 상담을 교정해야 할 국면에 광고비를 증액하는 오판이 발생합니다.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여기서 한 가지를 분명히 합니다. </w:t>
      </w:r>
      <w:r>
        <w:rPr>
          <w:rFonts w:ascii="맑은 고딕" w:cs="맑은 고딕" w:eastAsia="맑은 고딕" w:hAnsi="맑은 고딕"/>
          <w:b/>
          <w:bCs/>
          <w:i w:val="false"/>
          <w:iCs w:val="false"/>
          <w:color w:val="1A1A1A"/>
          <w:sz w:val="20"/>
          <w:szCs w:val="20"/>
        </w:rPr>
        <w:t xml:space="preserve">수요 부족이 실제 원인인 현장도 존재합니다.</w:t>
      </w:r>
      <w:r>
        <w:rPr>
          <w:rFonts w:ascii="맑은 고딕" w:cs="맑은 고딕" w:eastAsia="맑은 고딕" w:hAnsi="맑은 고딕"/>
          <w:b w:val="false"/>
          <w:bCs w:val="false"/>
          <w:i w:val="false"/>
          <w:iCs w:val="false"/>
          <w:color w:val="1A1A1A"/>
          <w:sz w:val="20"/>
          <w:szCs w:val="20"/>
        </w:rPr>
        <w:t xml:space="preserve"> 모든 부진이 광고나 운영으로 해결되지는 않습니다. 핵심은 원인을 감(感)으로 판단하지 않는 것입니다. 원인이 데이터로 구분되어야 해결 가능한 문제에 예산을 투입하고, 해결 불가능한 문제에는 조건 재검토라는 다른 대응을 선택할 수 있습니다.</w:t>
      </w:r>
    </w:p>
    <w:p>
      <w:pPr>
        <w:pStyle w:val="Heading2"/>
        <w:keepNext/>
        <w:spacing w:after="140" w:before="300"/>
      </w:pPr>
      <w:r>
        <w:rPr>
          <w:rFonts w:ascii="맑은 고딕" w:cs="맑은 고딕" w:eastAsia="맑은 고딕" w:hAnsi="맑은 고딕"/>
          <w:b/>
          <w:bCs/>
          <w:color w:val="1A1A1A"/>
          <w:sz w:val="23"/>
          <w:szCs w:val="23"/>
        </w:rPr>
        <w:t xml:space="preserve">3.6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실패 사슬의 어느 한 고리만 교체하는 것 — 광고대행사 교체, CRM 단독 도입, 분석 리포트 단독 구매 — 으로는 사슬이 끊어지지 않습니다.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필요한 것은 </w:t>
      </w:r>
      <w:r>
        <w:rPr>
          <w:rFonts w:ascii="맑은 고딕" w:cs="맑은 고딕" w:eastAsia="맑은 고딕" w:hAnsi="맑은 고딕"/>
          <w:b/>
          <w:bCs/>
          <w:i w:val="false"/>
          <w:iCs w:val="false"/>
          <w:color w:val="1A1A1A"/>
          <w:sz w:val="20"/>
          <w:szCs w:val="20"/>
        </w:rPr>
        <w:t xml:space="preserve">분석부터 계약 데이터까지 전 구간을 하나의 체계로 연결하는 운영자</w:t>
      </w:r>
      <w:r>
        <w:rPr>
          <w:rFonts w:ascii="맑은 고딕" w:cs="맑은 고딕" w:eastAsia="맑은 고딕" w:hAnsi="맑은 고딕"/>
          <w:b w:val="false"/>
          <w:bCs w:val="false"/>
          <w:i w:val="false"/>
          <w:iCs w:val="false"/>
          <w:color w:val="1A1A1A"/>
          <w:sz w:val="20"/>
          <w:szCs w:val="20"/>
        </w:rPr>
        <w:t xml:space="preserve">입니다. 그 정의와 작동 방식이 제4장의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제4장. 분양하마 운영 방법론</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분양하마는 광고대행사가 아니라, 10단계 가치 사슬을 단일 책임으로 운영하고 결과를 다음 주기에 환류시키는 수요 전환 시스템 운영사입니다.</w:t>
      </w:r>
    </w:p>
    <w:p>
      <w:pPr>
        <w:keepNext/>
        <w:spacing w:after="90" w:before="220"/>
      </w:pPr>
      <w:r>
        <w:rPr>
          <w:rFonts w:ascii="맑은 고딕" w:cs="맑은 고딕" w:eastAsia="맑은 고딕" w:hAnsi="맑은 고딕"/>
          <w:b/>
          <w:bCs/>
          <w:color w:val="1F3864"/>
          <w:sz w:val="18"/>
          <w:szCs w:val="18"/>
        </w:rPr>
        <w:t xml:space="preserve">[표 4-1]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사이클(제3장)은 어느 한 기능의 교체로는 끊어지지 않는다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분업 구조의 업체는 자기 구간만 책임지므로, 구간 간 연결이 발생하지 않는다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현장분석부터 최적화까지 10단계를 단일 책임으로 운영하고, 7단계 내부 운영 표준으로 실행한다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매주 검증된 지식이 축적되고, 발주처는 수수료율이 아닌 시스템 기준으로 평가할 수 있다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4.1 운영체계의 정의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 AI 분양 수요 전환 시스템은 하나의 광고 매체도, 하나의 분석 리포트도, 하나의 소프트웨어도 아닙니다. 다음의 순환을 단일 책임으로 운영하는 체계입니다.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color w:val="1A1A1A"/>
                <w:sz w:val="19"/>
                <w:szCs w:val="19"/>
              </w:rPr>
              <w:t xml:space="preserve">현장 자료와 공식 데이터를 검증하여 가격·수요·공급·촉매·위험을 분석하고, 이를 판매 논리와 고객 질문형 콘텐츠로 전환한 뒤, 고객 단계별로 광고를 집행하고, 유입 고객을 업무툴에서 배정부터 계약까지 관리하며, 그 결과를 다시 분석과 광고 최적화에 반영한다.</w:t>
            </w:r>
          </w:p>
        </w:tc>
      </w:tr>
    </w:tbl>
    <w:p>
      <w:pPr>
        <w:spacing w:after="180" w:before="0"/>
      </w:pPr>
    </w:p>
    <w:p>
      <w:pPr>
        <w:pStyle w:val="Heading2"/>
        <w:keepNext/>
        <w:spacing w:after="140" w:before="300"/>
      </w:pPr>
      <w:r>
        <w:rPr>
          <w:rFonts w:ascii="맑은 고딕" w:cs="맑은 고딕" w:eastAsia="맑은 고딕" w:hAnsi="맑은 고딕"/>
          <w:b/>
          <w:bCs/>
          <w:color w:val="1A1A1A"/>
          <w:sz w:val="23"/>
          <w:szCs w:val="23"/>
        </w:rPr>
        <w:t xml:space="preserve">4.2 10단계 가치 사슬</w:t>
      </w:r>
    </w:p>
    <w:p>
      <w:pPr>
        <w:keepNext/>
        <w:spacing w:after="90" w:before="220"/>
      </w:pPr>
      <w:r>
        <w:rPr>
          <w:rFonts w:ascii="맑은 고딕" w:cs="맑은 고딕" w:eastAsia="맑은 고딕" w:hAnsi="맑은 고딕"/>
          <w:b/>
          <w:bCs/>
          <w:color w:val="1F3864"/>
          <w:sz w:val="18"/>
          <w:szCs w:val="18"/>
        </w:rPr>
        <w:t xml:space="preserve">[표 4-2] 단계별 업무 범위 대조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1"/>
        <w:gridCol w:w="2717"/>
        <w:gridCol w:w="4260"/>
        <w:gridCol w:w="1150"/>
      </w:tblGrid>
      <w:tr>
        <w:trPr>
          <w:cantSplit/>
          <w:tblHeader/>
        </w:trPr>
        <w:tc>
          <w:tcPr>
            <w:tcW w:type="dxa" w:w="15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27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전통적 대행</w:t>
            </w:r>
          </w:p>
        </w:tc>
        <w:tc>
          <w:tcPr>
            <w:tcW w:type="dxa" w:w="42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상세</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 (기본 분양정보 확인)</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7대 카테고리·15개 레이어·300+ 지표 검증</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 메시지맵, 표현 등급 지정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 전략</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이미지·이벤트 소재</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 검증형 정보 허브</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광고 집행</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업무의 전부</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10단계 중 하나</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제8장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CRM 연동</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전달 후 종료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자동 연동, 규칙 기반 배정</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고객관리</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 (현장의 일)</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10단계 상태 관리, 연락지연 통제</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방문</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예약·이행·노쇼 관리</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⑧ 계약</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 관리, 기여 경로 기록</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제9·10장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⑨ 학습</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거절·전환 원인 분석</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⑩ 최적화</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 교체 수준</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예산·메시지·상담의 재조정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제10·12장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좌측 열의 "없음"은 개별 업체의 불성실이 아니라 </w:t>
      </w:r>
      <w:r>
        <w:rPr>
          <w:rFonts w:ascii="맑은 고딕" w:cs="맑은 고딕" w:eastAsia="맑은 고딕" w:hAnsi="맑은 고딕"/>
          <w:b/>
          <w:bCs/>
          <w:i w:val="false"/>
          <w:iCs w:val="false"/>
          <w:color w:val="1A1A1A"/>
          <w:sz w:val="20"/>
          <w:szCs w:val="20"/>
        </w:rPr>
        <w:t xml:space="preserve">업무 범위 정의의 차이</w:t>
      </w:r>
      <w:r>
        <w:rPr>
          <w:rFonts w:ascii="맑은 고딕" w:cs="맑은 고딕" w:eastAsia="맑은 고딕" w:hAnsi="맑은 고딕"/>
          <w:b w:val="false"/>
          <w:bCs w:val="false"/>
          <w:i w:val="false"/>
          <w:iCs w:val="false"/>
          <w:color w:val="1A1A1A"/>
          <w:sz w:val="20"/>
          <w:szCs w:val="20"/>
        </w:rPr>
        <w:t xml:space="preserve">입니다. 분업 구조에서 각 주체는 관행상 성실히 수행하더라도 항목 간 연결이 발생하지 않으며, 연결이 없는 한 개별 항목을 개선해도 제3장의 실패 사슬은 끊어지지 않습니다.</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대조는 특정 업체를 일반화한 비교가 아니라, 운영 구조(업무 범위 정의)의 차이를 설명하기 위한 것입니다.</w:t>
      </w:r>
    </w:p>
    <w:p>
      <w:pPr>
        <w:pStyle w:val="Heading2"/>
        <w:keepNext/>
        <w:spacing w:after="140" w:before="300"/>
      </w:pPr>
      <w:r>
        <w:rPr>
          <w:rFonts w:ascii="맑은 고딕" w:cs="맑은 고딕" w:eastAsia="맑은 고딕" w:hAnsi="맑은 고딕"/>
          <w:b/>
          <w:bCs/>
          <w:color w:val="1A1A1A"/>
          <w:sz w:val="23"/>
          <w:szCs w:val="23"/>
        </w:rPr>
        <w:t xml:space="preserve">4.3 7단계 내부 운영 표준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10단계 가치 사슬은 발주처·고객 관점의 흐름이며, 이를 실행하는 내부 운영은 일곱 단계로 표준화됩니다.</w:t>
      </w:r>
    </w:p>
    <w:p>
      <w:pPr>
        <w:keepNext/>
        <w:spacing w:after="90" w:before="220"/>
      </w:pPr>
      <w:r>
        <w:rPr>
          <w:rFonts w:ascii="맑은 고딕" w:cs="맑은 고딕" w:eastAsia="맑은 고딕" w:hAnsi="맑은 고딕"/>
          <w:b/>
          <w:bCs/>
          <w:color w:val="1F3864"/>
          <w:sz w:val="18"/>
          <w:szCs w:val="18"/>
        </w:rPr>
        <w:t xml:space="preserve">[표 4-3] 7단계 전환 운영과 생성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802"/>
        <w:gridCol w:w="3594"/>
        <w:gridCol w:w="309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내부 단계</w:t>
            </w:r>
          </w:p>
        </w:tc>
        <w:tc>
          <w:tcPr>
            <w:tcW w:type="dxa" w:w="18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담당하는 가치 사슬</w:t>
            </w:r>
          </w:p>
        </w:tc>
        <w:tc>
          <w:tcPr>
            <w:tcW w:type="dxa" w:w="359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활동</w:t>
            </w:r>
          </w:p>
        </w:tc>
        <w:tc>
          <w:tcPr>
            <w:tcW w:type="dxa" w:w="309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생성되는 관리 정보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진단</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자료 수령, 데이터 커버리지 점검</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입력검증표, 분석경계, 결측·제약</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분석</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가격·수요·공급·환금성·촉매·위험 분석</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현장진단, 시나리오</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설득설계</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질문·가격저항·반대근거 정리</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 고객유형, 표현등급</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제작</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 전략</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허브·리포트·소재 제작</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소재목록, 버전, 승인기록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집행</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광고</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역할 운영</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캠페인·지출·노출·클릭·전환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전환관리</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⑤~⑧ CRM~계약</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배정·연락·상담·방문·계약 관리</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고객상태, 처리시간, 거절사유</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학습</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⑨~⑩ 학습·최적화</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성과와 현장 성과의 결합 분석</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기여소재, 병목, 개선안</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4.4 폐쇄형 학습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번째 단계가 첫 번째 단계로 되돌아가는 것이 이 체계의 핵심입니다.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데이터만으로는 고객이 왜 거절했는지 알 수 없고, 상담 기록만으로는 어떤 광고가 그 고객을 유입시켰는지 알 수 없습니다. 당사는 광고 소재, 유입 캠페인, 담당자, 최초 연락 시각, 상담 결과, 방문, 계약 상태를 하나의 키로 연결합니다.</w:t>
      </w:r>
    </w:p>
    <w:p>
      <w:pPr>
        <w:keepNext/>
        <w:spacing w:after="90" w:before="220"/>
      </w:pPr>
      <w:r>
        <w:rPr>
          <w:rFonts w:ascii="맑은 고딕" w:cs="맑은 고딕" w:eastAsia="맑은 고딕" w:hAnsi="맑은 고딕"/>
          <w:b/>
          <w:bCs/>
          <w:color w:val="1F3864"/>
          <w:sz w:val="18"/>
          <w:szCs w:val="18"/>
        </w:rPr>
        <w:t xml:space="preserve">[그림 4-1] 운영 순환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광고 소재 → 광고비 → 고객 유입 → 담당자 배정 → 최초 연락 → 상담 → 방문 → 계약</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거절·성공 원인 분석 → 메시지·매체·상담 개선 → (다음 주기의 광고 소재)</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순환이 작동하는 조직과 작동하지 않는 조직의 차이는 시간이 지날수록 확대됩니다. 작동하는 조직은 매주 검증된 지식을 축적하고, 작동하지 않는 조직은 매주 같은 실험을 반복합니다.</w:t>
      </w:r>
    </w:p>
    <w:p>
      <w:pPr>
        <w:pStyle w:val="Heading2"/>
        <w:keepNext/>
        <w:spacing w:after="140" w:before="300"/>
      </w:pPr>
      <w:r>
        <w:rPr>
          <w:rFonts w:ascii="맑은 고딕" w:cs="맑은 고딕" w:eastAsia="맑은 고딕" w:hAnsi="맑은 고딕"/>
          <w:b/>
          <w:bCs/>
          <w:color w:val="1A1A1A"/>
          <w:sz w:val="23"/>
          <w:szCs w:val="23"/>
        </w:rPr>
        <w:t xml:space="preserve">4.5 수행 주체 구조</w:t>
      </w:r>
    </w:p>
    <w:p>
      <w:pPr>
        <w:keepNext/>
        <w:spacing w:after="90" w:before="220"/>
      </w:pPr>
      <w:r>
        <w:rPr>
          <w:rFonts w:ascii="맑은 고딕" w:cs="맑은 고딕" w:eastAsia="맑은 고딕" w:hAnsi="맑은 고딕"/>
          <w:b/>
          <w:bCs/>
          <w:color w:val="1F3864"/>
          <w:sz w:val="18"/>
          <w:szCs w:val="18"/>
        </w:rPr>
        <w:t xml:space="preserve">[표 4-4] 분양하마와 테이블플립의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0"/>
        <w:gridCol w:w="7648"/>
      </w:tblGrid>
      <w:tr>
        <w:trPr>
          <w:cantSplit/>
          <w:tblHeader/>
        </w:trPr>
        <w:tc>
          <w:tcPr>
            <w:tcW w:type="dxa" w:w="199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주체</w:t>
            </w:r>
          </w:p>
        </w:tc>
        <w:tc>
          <w:tcPr>
            <w:tcW w:type="dxa" w:w="764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9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w:t>
            </w:r>
          </w:p>
        </w:tc>
        <w:tc>
          <w:tcPr>
            <w:tcW w:type="dxa" w:w="76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제안·계약·현장분석·설득설계·광고 운영·현장 전환관리·성과 보고의 수행 주체</w:t>
            </w:r>
          </w:p>
        </w:tc>
      </w:tr>
      <w:tr>
        <w:trPr>
          <w:cantSplit/>
          <w:tblHeader w:val="false"/>
        </w:trPr>
        <w:tc>
          <w:tcPr>
            <w:tcW w:type="dxa" w:w="199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테이블플립 (모회사)</w:t>
            </w:r>
          </w:p>
        </w:tc>
        <w:tc>
          <w:tcPr>
            <w:tcW w:type="dxa" w:w="76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AI·데이터 분석·GEO·업무시스템의 기술 기반 제공</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분양하마는 테이블플립의 분석·콘텐츠·디지털 운영 역량을 분양 업무에 결합한 자회사이자 전문 운영 브랜드입니다. 기술 기반은 모회사의 축적된 역량을 활용하되, </w:t>
      </w:r>
      <w:r>
        <w:rPr>
          <w:rFonts w:ascii="맑은 고딕" w:cs="맑은 고딕" w:eastAsia="맑은 고딕" w:hAnsi="맑은 고딕"/>
          <w:b/>
          <w:bCs/>
          <w:i w:val="false"/>
          <w:iCs w:val="false"/>
          <w:color w:val="1A1A1A"/>
          <w:sz w:val="20"/>
          <w:szCs w:val="20"/>
        </w:rPr>
        <w:t xml:space="preserve">분양 현장의 계약·운영·책임은 분양하마가 단일 창구로 담당합니다.</w:t>
      </w:r>
    </w:p>
    <w:p>
      <w:pPr>
        <w:pStyle w:val="Heading2"/>
        <w:keepNext/>
        <w:spacing w:after="140" w:before="300"/>
      </w:pPr>
      <w:r>
        <w:rPr>
          <w:rFonts w:ascii="맑은 고딕" w:cs="맑은 고딕" w:eastAsia="맑은 고딕" w:hAnsi="맑은 고딕"/>
          <w:b/>
          <w:bCs/>
          <w:color w:val="1A1A1A"/>
          <w:sz w:val="23"/>
          <w:szCs w:val="23"/>
        </w:rPr>
        <w:t xml:space="preserve">4.6 "수수료 10%"를 차별점으로 제시하지 않는 이유</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당사의 표준 운영수수료는 광고운영예산의 10%입니다. 그러나 이 수치는 시장에서도 확인될 수 있는 조건이므로, 본 제안의 차별점으로 제시하지 않습니다.</w:t>
      </w:r>
    </w:p>
    <w:p>
      <w:pPr>
        <w:keepNext/>
        <w:spacing w:after="90" w:before="220"/>
      </w:pPr>
      <w:r>
        <w:rPr>
          <w:rFonts w:ascii="맑은 고딕" w:cs="맑은 고딕" w:eastAsia="맑은 고딕" w:hAnsi="맑은 고딕"/>
          <w:b/>
          <w:bCs/>
          <w:color w:val="1F3864"/>
          <w:sz w:val="18"/>
          <w:szCs w:val="18"/>
        </w:rPr>
        <w:t xml:space="preserve">[표 4-5] 수수료 비교 시 확인해야 할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19"/>
        <w:gridCol w:w="3213"/>
        <w:gridCol w:w="5206"/>
      </w:tblGrid>
      <w:tr>
        <w:trPr>
          <w:cantSplit/>
          <w:tblHeader/>
        </w:trPr>
        <w:tc>
          <w:tcPr>
            <w:tcW w:type="dxa" w:w="121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판단 항목</w:t>
            </w:r>
          </w:p>
        </w:tc>
        <w:tc>
          <w:tcPr>
            <w:tcW w:type="dxa" w:w="32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수수료율만 확인할 때</w:t>
            </w:r>
          </w:p>
        </w:tc>
        <w:tc>
          <w:tcPr>
            <w:tcW w:type="dxa" w:w="5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구조까지 확인할 때</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 금액</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"10%"라는 숫자만 비교</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VAT 포함 여부, 제작비 포함 여부, 최소 비용</w:t>
            </w:r>
          </w:p>
        </w:tc>
      </w:tr>
      <w:tr>
        <w:trPr>
          <w:cantSplit/>
          <w:tblHeader w:val="false"/>
        </w:trPr>
        <w:tc>
          <w:tcPr>
            <w:tcW w:type="dxa" w:w="12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매체비</w:t>
            </w:r>
          </w:p>
        </w:tc>
        <w:tc>
          <w:tcPr>
            <w:tcW w:type="dxa" w:w="3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나머지가 모두 광고비라고 추정</w:t>
            </w:r>
          </w:p>
        </w:tc>
        <w:tc>
          <w:tcPr>
            <w:tcW w:type="dxa" w:w="5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충전·결제·환불·잔액까지 실집행 원장으로 확인</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제공 업무</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범위를 포괄적으로 이해</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분석·전략·세팅·최적화·리포트의 실제 수행 범위</w:t>
            </w:r>
          </w:p>
        </w:tc>
      </w:tr>
      <w:tr>
        <w:trPr>
          <w:cantSplit/>
          <w:tblHeader w:val="false"/>
        </w:trPr>
        <w:tc>
          <w:tcPr>
            <w:tcW w:type="dxa" w:w="12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w:t>
            </w:r>
          </w:p>
        </w:tc>
        <w:tc>
          <w:tcPr>
            <w:tcW w:type="dxa" w:w="3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운영비에 포함된 것으로 오해</w:t>
            </w:r>
          </w:p>
        </w:tc>
        <w:tc>
          <w:tcPr>
            <w:tcW w:type="dxa" w:w="5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종류·수량·촬영·수정·소유권을 별도 견적으로 확정</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 중심 비교</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DB·상담·방문·계약·거절사유까지 기준 통일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발주처께 요청드리는 것은 분양하마를 포함한 모든 제안사를 </w:t>
      </w:r>
      <w:r>
        <w:rPr>
          <w:rFonts w:ascii="맑은 고딕" w:cs="맑은 고딕" w:eastAsia="맑은 고딕" w:hAnsi="맑은 고딕"/>
          <w:b/>
          <w:bCs/>
          <w:i w:val="false"/>
          <w:iCs w:val="false"/>
          <w:color w:val="1A1A1A"/>
          <w:sz w:val="20"/>
          <w:szCs w:val="20"/>
        </w:rPr>
        <w:t xml:space="preserve">이 구조 기준으로 비교</w:t>
      </w:r>
      <w:r>
        <w:rPr>
          <w:rFonts w:ascii="맑은 고딕" w:cs="맑은 고딕" w:eastAsia="맑은 고딕" w:hAnsi="맑은 고딕"/>
          <w:b w:val="false"/>
          <w:bCs w:val="false"/>
          <w:i w:val="false"/>
          <w:iCs w:val="false"/>
          <w:color w:val="1A1A1A"/>
          <w:sz w:val="20"/>
          <w:szCs w:val="20"/>
        </w:rPr>
        <w:t xml:space="preserve">해 주시는 것입니다.</w:t>
      </w:r>
    </w:p>
    <w:p>
      <w:pPr>
        <w:pStyle w:val="Heading2"/>
        <w:keepNext/>
        <w:spacing w:after="140" w:before="300"/>
      </w:pPr>
      <w:r>
        <w:rPr>
          <w:rFonts w:ascii="맑은 고딕" w:cs="맑은 고딕" w:eastAsia="맑은 고딕" w:hAnsi="맑은 고딕"/>
          <w:b/>
          <w:bCs/>
          <w:color w:val="1A1A1A"/>
          <w:sz w:val="23"/>
          <w:szCs w:val="23"/>
        </w:rPr>
        <w:t xml:space="preserve">4.7 인접 서비스와의 위치 비교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프롭테크 시장에는 당사와 부분적으로 겹치는 서비스 유형이 존재합니다. 발주처의 정확한 판단을 위해 유형별 차이를 명시합니다.</w:t>
      </w:r>
    </w:p>
    <w:p>
      <w:pPr>
        <w:keepNext/>
        <w:spacing w:after="90" w:before="220"/>
      </w:pPr>
      <w:r>
        <w:rPr>
          <w:rFonts w:ascii="맑은 고딕" w:cs="맑은 고딕" w:eastAsia="맑은 고딕" w:hAnsi="맑은 고딕"/>
          <w:b/>
          <w:bCs/>
          <w:color w:val="1F3864"/>
          <w:sz w:val="18"/>
          <w:szCs w:val="18"/>
        </w:rPr>
        <w:t xml:space="preserve">[표 4-6] 인접 서비스 유형과 분양하마의 위치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3324"/>
        <w:gridCol w:w="1292"/>
        <w:gridCol w:w="1108"/>
        <w:gridCol w:w="2806"/>
      </w:tblGrid>
      <w:tr>
        <w:trPr>
          <w:cantSplit/>
          <w:tblHeader/>
        </w:trPr>
        <w:tc>
          <w:tcPr>
            <w:tcW w:type="dxa" w:w="11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서비스 유형</w:t>
            </w:r>
          </w:p>
        </w:tc>
        <w:tc>
          <w:tcPr>
            <w:tcW w:type="dxa" w:w="3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범위</w:t>
            </w:r>
          </w:p>
        </w:tc>
        <w:tc>
          <w:tcPr>
            <w:tcW w:type="dxa" w:w="129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강점</w:t>
            </w:r>
          </w:p>
        </w:tc>
        <w:tc>
          <w:tcPr>
            <w:tcW w:type="dxa" w:w="11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업무의 종료 지점</w:t>
            </w:r>
          </w:p>
        </w:tc>
        <w:tc>
          <w:tcPr>
            <w:tcW w:type="dxa" w:w="28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분양하마와의 관계</w:t>
            </w:r>
          </w:p>
        </w:tc>
      </w:tr>
      <w:tr>
        <w:trPr>
          <w:cantSplit/>
          <w:tblHeader w:val="false"/>
        </w:trPr>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분양가 산정·시장분석 솔루션</w:t>
            </w:r>
          </w:p>
        </w:tc>
        <w:tc>
          <w:tcPr>
            <w:tcW w:type="dxa" w:w="3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적정 분양가 산정, 청약 수요 예측, 사업지 분석 리포트, 데이터룸</w:t>
            </w:r>
          </w:p>
        </w:tc>
        <w:tc>
          <w:tcPr>
            <w:tcW w:type="dxa" w:w="12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대량 데이터 기반 신속한 사업성 판단</w:t>
            </w:r>
          </w:p>
        </w:tc>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분석 리포트 납품에서 종료</w:t>
            </w:r>
          </w:p>
        </w:tc>
        <w:tc>
          <w:tcPr>
            <w:tcW w:type="dxa" w:w="28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분석까지는 유사. 분석을 광고·상담·계약 전환으로 실행하는 운영이 없음</w:t>
            </w:r>
          </w:p>
        </w:tc>
      </w:tr>
      <w:tr>
        <w:trPr>
          <w:cantSplit/>
          <w:tblHeader w:val="false"/>
        </w:trPr>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보장형 금융 상품</w:t>
            </w:r>
          </w:p>
        </w:tc>
        <w:tc>
          <w:tcPr>
            <w:tcW w:type="dxa" w:w="3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세대 단위 적정가 산출, 보호약정(환매권 등), 위험 조기경보</w:t>
            </w:r>
          </w:p>
        </w:tc>
        <w:tc>
          <w:tcPr>
            <w:tcW w:type="dxa" w:w="12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수요자 심리 방어, 금융 구조 설계</w:t>
            </w:r>
          </w:p>
        </w:tc>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보장 상품 판매에서 종료</w:t>
            </w:r>
          </w:p>
        </w:tc>
        <w:tc>
          <w:tcPr>
            <w:tcW w:type="dxa" w:w="28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수요자 안심 장치로서 당사 운영과 병행 가능. 수요를 발굴·전환하는 기능이 없음</w:t>
            </w:r>
          </w:p>
        </w:tc>
      </w:tr>
      <w:tr>
        <w:trPr>
          <w:cantSplit/>
          <w:tblHeader w:val="false"/>
        </w:trPr>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광고대행</w:t>
            </w:r>
          </w:p>
        </w:tc>
        <w:tc>
          <w:tcPr>
            <w:tcW w:type="dxa" w:w="3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집행, 소재 제작, DB 수집</w:t>
            </w:r>
          </w:p>
        </w:tc>
        <w:tc>
          <w:tcPr>
            <w:tcW w:type="dxa" w:w="12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운영 실무</w:t>
            </w:r>
          </w:p>
        </w:tc>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DB 전달에서 종료</w:t>
            </w:r>
            <w:r>
              <w:rPr>
                <w:rFonts w:ascii="맑은 고딕" w:cs="맑은 고딕" w:eastAsia="맑은 고딕" w:hAnsi="맑은 고딕"/>
                <w:color w:val="1A1A1A"/>
                <w:sz w:val="18"/>
                <w:szCs w:val="18"/>
              </w:rPr>
              <w:t xml:space="preserve"> (제3장)</w:t>
            </w:r>
          </w:p>
        </w:tc>
        <w:tc>
          <w:tcPr>
            <w:tcW w:type="dxa" w:w="28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당사 10단계 중 ④ 한 단계에 해당</w:t>
            </w:r>
          </w:p>
        </w:tc>
      </w:tr>
      <w:tr>
        <w:trPr>
          <w:cantSplit/>
          <w:tblHeader w:val="false"/>
        </w:trPr>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c>
          <w:tcPr>
            <w:tcW w:type="dxa" w:w="3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 → 판매 논리 → 콘텐츠 → 광고 → CRM → 고객관리 → 방문 → 계약 → 학습 → 최적화</w:t>
            </w:r>
          </w:p>
        </w:tc>
        <w:tc>
          <w:tcPr>
            <w:tcW w:type="dxa" w:w="12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전 구간의 단일 책임 운영</w:t>
            </w:r>
          </w:p>
        </w:tc>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계약·학습·다음 주기 최적화까지</w:t>
            </w:r>
          </w:p>
        </w:tc>
        <w:tc>
          <w:tcPr>
            <w:tcW w:type="dxa" w:w="28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비교는 특정 업체가 아닌 서비스 유형 단위의 비교이며, 각 유형의 서비스는 고유한 가치를 갖습니다.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세 유형과 당사의 차이는 우열이 아니라 </w:t>
      </w:r>
      <w:r>
        <w:rPr>
          <w:rFonts w:ascii="맑은 고딕" w:cs="맑은 고딕" w:eastAsia="맑은 고딕" w:hAnsi="맑은 고딕"/>
          <w:b/>
          <w:bCs/>
          <w:i w:val="false"/>
          <w:iCs w:val="false"/>
          <w:color w:val="1A1A1A"/>
          <w:sz w:val="20"/>
          <w:szCs w:val="20"/>
        </w:rPr>
        <w:t xml:space="preserve">업무의 종료 지점</w:t>
      </w:r>
      <w:r>
        <w:rPr>
          <w:rFonts w:ascii="맑은 고딕" w:cs="맑은 고딕" w:eastAsia="맑은 고딕" w:hAnsi="맑은 고딕"/>
          <w:b w:val="false"/>
          <w:bCs w:val="false"/>
          <w:i w:val="false"/>
          <w:iCs w:val="false"/>
          <w:color w:val="1A1A1A"/>
          <w:sz w:val="20"/>
          <w:szCs w:val="20"/>
        </w:rPr>
        <w:t xml:space="preserve">입니다. 분석 솔루션은 리포트에서, 보장 상품은 약정 체결에서, 광고대행은 DB 전달에서 업무가 종료됩니다. 당사는 분석 결과가 광고 문구가 되고, 광고 유입이 상담 기록이 되고, 거절 사유가 다음 분석의 입력이 되는 </w:t>
      </w:r>
      <w:r>
        <w:rPr>
          <w:rFonts w:ascii="맑은 고딕" w:cs="맑은 고딕" w:eastAsia="맑은 고딕" w:hAnsi="맑은 고딕"/>
          <w:b/>
          <w:bCs/>
          <w:i w:val="false"/>
          <w:iCs w:val="false"/>
          <w:color w:val="1A1A1A"/>
          <w:sz w:val="20"/>
          <w:szCs w:val="20"/>
        </w:rPr>
        <w:t xml:space="preserve">전환 운영의 전 구간</w:t>
      </w:r>
      <w:r>
        <w:rPr>
          <w:rFonts w:ascii="맑은 고딕" w:cs="맑은 고딕" w:eastAsia="맑은 고딕" w:hAnsi="맑은 고딕"/>
          <w:b w:val="false"/>
          <w:bCs w:val="false"/>
          <w:i w:val="false"/>
          <w:iCs w:val="false"/>
          <w:color w:val="1A1A1A"/>
          <w:sz w:val="20"/>
          <w:szCs w:val="20"/>
        </w:rPr>
        <w:t xml:space="preserve">을 담당합니다. 발주처가 이미 분석 솔루션이나 보장 상품을 이용 중이라면, 당사 운영체계는 이를 대체하는 것이 아니라 그 산출물이 실제 계약으로 전환되는 구간을 담당합니다.</w:t>
      </w:r>
    </w:p>
    <w:p>
      <w:pPr>
        <w:pStyle w:val="Heading2"/>
        <w:keepNext/>
        <w:spacing w:after="140" w:before="300"/>
      </w:pPr>
      <w:r>
        <w:rPr>
          <w:rFonts w:ascii="맑은 고딕" w:cs="맑은 고딕" w:eastAsia="맑은 고딕" w:hAnsi="맑은 고딕"/>
          <w:b/>
          <w:bCs/>
          <w:color w:val="1A1A1A"/>
          <w:sz w:val="23"/>
          <w:szCs w:val="23"/>
        </w:rPr>
        <w:t xml:space="preserve">4.8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분양하마의 경쟁력은 개별 기능이 아니라 기능 간의 연결 구조에 있습니다.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구조의 앞단, 즉 </w:t>
      </w:r>
      <w:r>
        <w:rPr>
          <w:rFonts w:ascii="맑은 고딕" w:cs="맑은 고딕" w:eastAsia="맑은 고딕" w:hAnsi="맑은 고딕"/>
          <w:b/>
          <w:bCs/>
          <w:i w:val="false"/>
          <w:iCs w:val="false"/>
          <w:color w:val="1A1A1A"/>
          <w:sz w:val="20"/>
          <w:szCs w:val="20"/>
        </w:rPr>
        <w:t xml:space="preserve">팔릴 근거를 생산하는 방법론</w:t>
      </w:r>
      <w:r>
        <w:rPr>
          <w:rFonts w:ascii="맑은 고딕" w:cs="맑은 고딕" w:eastAsia="맑은 고딕" w:hAnsi="맑은 고딕"/>
          <w:b w:val="false"/>
          <w:bCs w:val="false"/>
          <w:i w:val="false"/>
          <w:iCs w:val="false"/>
          <w:color w:val="1A1A1A"/>
          <w:sz w:val="20"/>
          <w:szCs w:val="20"/>
        </w:rPr>
        <w:t xml:space="preserve">이 제5장의 주제입니다. 본 제안서에서 가장 상세히 기술하는 장이며, 당사가 광고대행과 구분되는 가장 근본적인 지점이기도 합니다.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제5장. AI 현장가치 분석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분양하마는 아파트 가격을 비교하지 않습니다. </w:t>
      </w:r>
      <w:r>
        <w:rPr>
          <w:rFonts w:ascii="맑은 고딕" w:cs="맑은 고딕" w:eastAsia="맑은 고딕" w:hAnsi="맑은 고딕"/>
          <w:b/>
          <w:bCs/>
          <w:i w:val="false"/>
          <w:iCs w:val="false"/>
          <w:color w:val="1A1A1A"/>
          <w:sz w:val="20"/>
          <w:szCs w:val="20"/>
        </w:rPr>
        <w:t xml:space="preserve">7대 코어 카테고리 → 15개 데이터 레이어 → 300개 이상의 표준 지표</w:t>
      </w:r>
      <w:r>
        <w:rPr>
          <w:rFonts w:ascii="맑은 고딕" w:cs="맑은 고딕" w:eastAsia="맑은 고딕" w:hAnsi="맑은 고딕"/>
          <w:b w:val="false"/>
          <w:bCs w:val="false"/>
          <w:i w:val="false"/>
          <w:iCs w:val="false"/>
          <w:color w:val="1A1A1A"/>
          <w:sz w:val="20"/>
          <w:szCs w:val="20"/>
        </w:rPr>
        <w:t xml:space="preserve">로 구성된 프레임워크에서, 서로 독립적인 데이터셋으로 현장가치를 교차 검증합니다.</w:t>
      </w:r>
    </w:p>
    <w:p>
      <w:pPr>
        <w:keepNext/>
        <w:spacing w:after="90" w:before="220"/>
      </w:pPr>
      <w:r>
        <w:rPr>
          <w:rFonts w:ascii="맑은 고딕" w:cs="맑은 고딕" w:eastAsia="맑은 고딕" w:hAnsi="맑은 고딕"/>
          <w:b/>
          <w:bCs/>
          <w:color w:val="1F3864"/>
          <w:sz w:val="18"/>
          <w:szCs w:val="18"/>
        </w:rPr>
        <w:t xml:space="preserve">[표 5-1]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주변 시세를 비교해 가격을 추정하는 보고서는 순환 논리·오염된 표본·단일 소스 의존의 결함을 갖는다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현장가치는 직접 관측할 수 없는 변수이므로, 단일 데이터로는 신뢰할 수 있게 추정되지 않는다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3층 프레임워크(5.2~5.3)에 방법론 엔진 6종 — GIS 공간분석·시계열·교차검증·반대근거·신뢰도 평가·조정계수 교정(5.4) — 를 적용한다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반증을 통과한 판매 근거가 확보되고, 4개 독립 판정(5.8)이 판매 전략의 형태를 결정한다</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분석에서 AI가 담당하는 범위와 사람의 책임은 5.9에서 한 번에 정의합니다.</w:t>
      </w:r>
    </w:p>
    <w:p>
      <w:pPr>
        <w:pStyle w:val="Heading2"/>
        <w:keepNext/>
        <w:spacing w:after="140" w:before="300"/>
      </w:pPr>
      <w:r>
        <w:rPr>
          <w:rFonts w:ascii="맑은 고딕" w:cs="맑은 고딕" w:eastAsia="맑은 고딕" w:hAnsi="맑은 고딕"/>
          <w:b/>
          <w:bCs/>
          <w:color w:val="1A1A1A"/>
          <w:sz w:val="23"/>
          <w:szCs w:val="23"/>
        </w:rPr>
        <w:t xml:space="preserve">5.1 분석 철학 — 가격 비교가 아니라 가치의 독립 검증</w:t>
      </w:r>
    </w:p>
    <w:p>
      <w:pPr>
        <w:pStyle w:val="Heading3"/>
        <w:keepNext/>
        <w:spacing w:after="110" w:before="240"/>
      </w:pPr>
      <w:r>
        <w:rPr>
          <w:rFonts w:ascii="맑은 고딕" w:cs="맑은 고딕" w:eastAsia="맑은 고딕" w:hAnsi="맑은 고딕"/>
          <w:b/>
          <w:bCs/>
          <w:color w:val="5A5A5A"/>
          <w:sz w:val="20"/>
          <w:szCs w:val="20"/>
        </w:rPr>
        <w:t xml:space="preserve">5.1.1 통상적 시세 비교 보고서의 세 가지 결함</w:t>
      </w:r>
    </w:p>
    <w:p>
      <w:pPr>
        <w:keepNext/>
        <w:spacing w:after="90" w:before="220"/>
      </w:pPr>
      <w:r>
        <w:rPr>
          <w:rFonts w:ascii="맑은 고딕" w:cs="맑은 고딕" w:eastAsia="맑은 고딕" w:hAnsi="맑은 고딕"/>
          <w:b/>
          <w:bCs/>
          <w:color w:val="1F3864"/>
          <w:sz w:val="18"/>
          <w:szCs w:val="18"/>
        </w:rPr>
        <w:t xml:space="preserve">[표 5-2] 시세 비교 방식의 방법론적 결함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621"/>
        <w:gridCol w:w="486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결함</w:t>
            </w:r>
          </w:p>
        </w:tc>
        <w:tc>
          <w:tcPr>
            <w:tcW w:type="dxa" w:w="362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486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결과</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순환 논리</w:t>
            </w:r>
          </w:p>
        </w:tc>
        <w:tc>
          <w:tcPr>
            <w:tcW w:type="dxa" w:w="36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가격을 가격으로 설명. "주변이 이 가격이니 이 현장도 이 가격"</w:t>
            </w:r>
          </w:p>
        </w:tc>
        <w:tc>
          <w:tcPr>
            <w:tcW w:type="dxa" w:w="48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주변 가격이 유지될 근거가 검증되지 않아, 시장 하강 국면에서 논리가 성립하지 않음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오염된 표본</w:t>
            </w:r>
          </w:p>
        </w:tc>
        <w:tc>
          <w:tcPr>
            <w:tcW w:type="dxa" w:w="362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호가·취소 거래·이상 고가·특수관계 거래가 정제되지 않음</w:t>
            </w:r>
          </w:p>
        </w:tc>
        <w:tc>
          <w:tcPr>
            <w:tcW w:type="dxa" w:w="486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기준 자체가 왜곡됨</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단일 소스 의존</w:t>
            </w:r>
          </w:p>
        </w:tc>
        <w:tc>
          <w:tcPr>
            <w:tcW w:type="dxa" w:w="36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하나의 데이터셋에서 결론 도출</w:t>
            </w:r>
          </w:p>
        </w:tc>
        <w:tc>
          <w:tcPr>
            <w:tcW w:type="dxa" w:w="48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데이터의 오류·편향·공백을 결론이 그대로 승계함</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5.1.2 대안 — 독립 데이터셋에 의한 삼각측량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현장의 가치는 직접 관측할 수 없는 잠재 변수입니다. 따라서 </w:t>
      </w:r>
      <w:r>
        <w:rPr>
          <w:rFonts w:ascii="맑은 고딕" w:cs="맑은 고딕" w:eastAsia="맑은 고딕" w:hAnsi="맑은 고딕"/>
          <w:b/>
          <w:bCs/>
          <w:i w:val="false"/>
          <w:iCs w:val="false"/>
          <w:color w:val="1A1A1A"/>
          <w:sz w:val="20"/>
          <w:szCs w:val="20"/>
        </w:rPr>
        <w:t xml:space="preserve">생성 주체와 수집 경로가 서로 다른 여러 데이터셋으로 같은 대상을 측정하는 방식</w:t>
      </w:r>
      <w:r>
        <w:rPr>
          <w:rFonts w:ascii="맑은 고딕" w:cs="맑은 고딕" w:eastAsia="맑은 고딕" w:hAnsi="맑은 고딕"/>
          <w:b w:val="false"/>
          <w:bCs w:val="false"/>
          <w:i w:val="false"/>
          <w:iCs w:val="false"/>
          <w:color w:val="1A1A1A"/>
          <w:sz w:val="20"/>
          <w:szCs w:val="20"/>
        </w:rPr>
        <w:t xml:space="preserve">으로만 신뢰할 수 있게 추정됩니다.</w:t>
      </w:r>
    </w:p>
    <w:p>
      <w:pPr>
        <w:keepNext/>
        <w:spacing w:after="90" w:before="220"/>
      </w:pPr>
      <w:r>
        <w:rPr>
          <w:rFonts w:ascii="맑은 고딕" w:cs="맑은 고딕" w:eastAsia="맑은 고딕" w:hAnsi="맑은 고딕"/>
          <w:b/>
          <w:bCs/>
          <w:color w:val="1F3864"/>
          <w:sz w:val="18"/>
          <w:szCs w:val="18"/>
        </w:rPr>
        <w:t xml:space="preserve">[표 5-3] 검증 대상별 독립 측정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41"/>
        <w:gridCol w:w="3540"/>
        <w:gridCol w:w="2557"/>
      </w:tblGrid>
      <w:tr>
        <w:trPr>
          <w:cantSplit/>
          <w:tblHeader/>
        </w:trPr>
        <w:tc>
          <w:tcPr>
            <w:tcW w:type="dxa" w:w="35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대상</w:t>
            </w:r>
          </w:p>
        </w:tc>
        <w:tc>
          <w:tcPr>
            <w:tcW w:type="dxa" w:w="35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독립 측정 데이터</w:t>
            </w:r>
          </w:p>
        </w:tc>
        <w:tc>
          <w:tcPr>
            <w:tcW w:type="dxa" w:w="255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 카테고리</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거주 수요의 존재</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인구·가구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w:t>
            </w:r>
          </w:p>
        </w:tc>
      </w:tr>
      <w:tr>
        <w:trPr>
          <w:cantSplit/>
          <w:tblHeader w:val="false"/>
        </w:trPr>
        <w:tc>
          <w:tcPr>
            <w:tcW w:type="dxa" w:w="3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수요의 지불 능력</w:t>
            </w:r>
          </w:p>
        </w:tc>
        <w:tc>
          <w:tcPr>
            <w:tcW w:type="dxa" w:w="35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고용·소득 데이터</w:t>
            </w:r>
          </w:p>
        </w:tc>
        <w:tc>
          <w:tcPr>
            <w:tcW w:type="dxa" w:w="25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생활권의 활력</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유동·소비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C3·C4</w:t>
            </w:r>
          </w:p>
        </w:tc>
      </w:tr>
      <w:tr>
        <w:trPr>
          <w:cantSplit/>
          <w:tblHeader w:val="false"/>
        </w:trPr>
        <w:tc>
          <w:tcPr>
            <w:tcW w:type="dxa" w:w="3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시장의 실제 움직임</w:t>
            </w:r>
          </w:p>
        </w:tc>
        <w:tc>
          <w:tcPr>
            <w:tcW w:type="dxa" w:w="35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정제된 거래 데이터</w:t>
            </w:r>
          </w:p>
        </w:tc>
        <w:tc>
          <w:tcPr>
            <w:tcW w:type="dxa" w:w="25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미래의 경쟁 부담</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공급·계획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C6·C7</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5.1.3 세 가지 운영 원칙</w:t>
      </w:r>
    </w:p>
    <w:p>
      <w:pPr>
        <w:keepNext/>
        <w:spacing w:after="90" w:before="220"/>
      </w:pPr>
      <w:r>
        <w:rPr>
          <w:rFonts w:ascii="맑은 고딕" w:cs="맑은 고딕" w:eastAsia="맑은 고딕" w:hAnsi="맑은 고딕"/>
          <w:b/>
          <w:bCs/>
          <w:color w:val="1F3864"/>
          <w:sz w:val="18"/>
          <w:szCs w:val="18"/>
        </w:rPr>
        <w:t xml:space="preserve">[표 5-4] 분석 운영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4"/>
        <w:gridCol w:w="7654"/>
      </w:tblGrid>
      <w:tr>
        <w:trPr>
          <w:cantSplit/>
          <w:tblHeader/>
        </w:trPr>
        <w:tc>
          <w:tcPr>
            <w:tcW w:type="dxa" w:w="198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6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9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독립성 (Independence)</w:t>
            </w:r>
          </w:p>
        </w:tc>
        <w:tc>
          <w:tcPr>
            <w:tcW w:type="dxa" w:w="76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지지하는 근거는 생성 주체와 수집 경로가 서로 다른 데이터셋에서 나와야 한다</w:t>
            </w:r>
          </w:p>
        </w:tc>
      </w:tr>
      <w:tr>
        <w:trPr>
          <w:cantSplit/>
          <w:tblHeader w:val="false"/>
        </w:trPr>
        <w:tc>
          <w:tcPr>
            <w:tcW w:type="dxa" w:w="19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수렴 (Convergence)</w:t>
            </w:r>
          </w:p>
        </w:tc>
        <w:tc>
          <w:tcPr>
            <w:tcW w:type="dxa" w:w="76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서로 다른 데이터가 같은 방향을 가리킬 때만 판매 근거로 채택한다</w:t>
            </w:r>
          </w:p>
        </w:tc>
      </w:tr>
      <w:tr>
        <w:trPr>
          <w:cantSplit/>
          <w:tblHeader w:val="false"/>
        </w:trPr>
        <w:tc>
          <w:tcPr>
            <w:tcW w:type="dxa" w:w="19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반증 (Falsification)</w:t>
            </w:r>
          </w:p>
        </w:tc>
        <w:tc>
          <w:tcPr>
            <w:tcW w:type="dxa" w:w="76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약화하는 데이터를 먼저 탐색하고, 그것을 통과한 설명만 남긴다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5.2 프레임워크 구조 — 7 → 15 → 300+</w:t>
      </w:r>
    </w:p>
    <w:p>
      <w:pPr>
        <w:keepNext/>
        <w:spacing w:after="90" w:before="220"/>
      </w:pPr>
      <w:r>
        <w:rPr>
          <w:rFonts w:ascii="맑은 고딕" w:cs="맑은 고딕" w:eastAsia="맑은 고딕" w:hAnsi="맑은 고딕"/>
          <w:b/>
          <w:bCs/>
          <w:color w:val="1F3864"/>
          <w:sz w:val="18"/>
          <w:szCs w:val="18"/>
        </w:rPr>
        <w:t xml:space="preserve">[그림 5-1] 3층 분석 프레임워크</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7대 코어 카테고리 (Core Categories)             │  ← 결론의 단위</w:t>
            </w:r>
          </w:p>
          <w:p>
            <w:pPr>
              <w:spacing w:after="0" w:before="0" w:line="240"/>
              <w:jc w:val="left"/>
            </w:pPr>
            <w:r>
              <w:rPr>
                <w:rFonts w:ascii="굴림체" w:cs="굴림체" w:eastAsia="굴림체" w:hAnsi="굴림체"/>
                <w:color w:val="1A1A1A"/>
                <w:sz w:val="16"/>
                <w:szCs w:val="16"/>
              </w:rPr>
              <w:t xml:space="preserve">│   인구·가구 │ 고용·소득 │ 이동·교통 │ 상권·소비                │    "수요가 있는가?"</w:t>
            </w:r>
          </w:p>
          <w:p>
            <w:pPr>
              <w:spacing w:after="0" w:before="0" w:line="240"/>
              <w:jc w:val="left"/>
            </w:pPr>
            <w:r>
              <w:rPr>
                <w:rFonts w:ascii="굴림체" w:cs="굴림체" w:eastAsia="굴림체" w:hAnsi="굴림체"/>
                <w:color w:val="1A1A1A"/>
                <w:sz w:val="16"/>
                <w:szCs w:val="16"/>
              </w:rPr>
              <w:t xml:space="preserve">│   주택시장 │ 공급 │ 개발·도시계획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15개 데이터 레이어 (Data Layers)                │  ← 독립성의 단위</w:t>
            </w:r>
          </w:p>
          <w:p>
            <w:pPr>
              <w:spacing w:after="0" w:before="0" w:line="240"/>
              <w:jc w:val="left"/>
            </w:pPr>
            <w:r>
              <w:rPr>
                <w:rFonts w:ascii="굴림체" w:cs="굴림체" w:eastAsia="굴림체" w:hAnsi="굴림체"/>
                <w:color w:val="1A1A1A"/>
                <w:sz w:val="16"/>
                <w:szCs w:val="16"/>
              </w:rPr>
              <w:t xml:space="preserve">│   L1 상주인구 · L2 가구수요 · L3 인구이동                     │    "무엇으로 측정하는가?"</w:t>
            </w:r>
          </w:p>
          <w:p>
            <w:pPr>
              <w:spacing w:after="0" w:before="0" w:line="240"/>
              <w:jc w:val="left"/>
            </w:pPr>
            <w:r>
              <w:rPr>
                <w:rFonts w:ascii="굴림체" w:cs="굴림체" w:eastAsia="굴림체" w:hAnsi="굴림체"/>
                <w:color w:val="1A1A1A"/>
                <w:sz w:val="16"/>
                <w:szCs w:val="16"/>
              </w:rPr>
              <w:t xml:space="preserve">│   L4 고용 · L5 소득 · L6 유동인구 · L7 생활이동 · L8 교통망     │</w:t>
            </w:r>
          </w:p>
          <w:p>
            <w:pPr>
              <w:spacing w:after="0" w:before="0" w:line="240"/>
              <w:jc w:val="left"/>
            </w:pPr>
            <w:r>
              <w:rPr>
                <w:rFonts w:ascii="굴림체" w:cs="굴림체" w:eastAsia="굴림체" w:hAnsi="굴림체"/>
                <w:color w:val="1A1A1A"/>
                <w:sz w:val="16"/>
                <w:szCs w:val="16"/>
              </w:rPr>
              <w:t xml:space="preserve">│   L9 상권 · L10 카드소비 · L11 실거래 · L12 청약/미분양        │</w:t>
            </w:r>
          </w:p>
          <w:p>
            <w:pPr>
              <w:spacing w:after="0" w:before="0" w:line="240"/>
              <w:jc w:val="left"/>
            </w:pPr>
            <w:r>
              <w:rPr>
                <w:rFonts w:ascii="굴림체" w:cs="굴림체" w:eastAsia="굴림체" w:hAnsi="굴림체"/>
                <w:color w:val="1A1A1A"/>
                <w:sz w:val="16"/>
                <w:szCs w:val="16"/>
              </w:rPr>
              <w:t xml:space="preserve">│   L13 공급 파이프라인 · L14 개발계획 · L15 도시계획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300+ 표준 분석 지표 (Indicators)                  │  ← 재현성의 단위</w:t>
            </w:r>
          </w:p>
          <w:p>
            <w:pPr>
              <w:spacing w:after="0" w:before="0" w:line="240"/>
              <w:jc w:val="left"/>
            </w:pPr>
            <w:r>
              <w:rPr>
                <w:rFonts w:ascii="굴림체" w:cs="굴림체" w:eastAsia="굴림체" w:hAnsi="굴림체"/>
                <w:color w:val="1A1A1A"/>
                <w:sz w:val="16"/>
                <w:szCs w:val="16"/>
              </w:rPr>
              <w:t xml:space="preserve">│   지표별 정의 · 산식 · 공간단위 · 출처 · 갱신주기 · 신뢰등급     │    "어떻게 계산하는가?"</w:t>
            </w:r>
          </w:p>
          <w:p>
            <w:pPr>
              <w:spacing w:after="0" w:before="0" w:line="240"/>
              <w:jc w:val="left"/>
            </w:pPr>
            <w:r>
              <w:rPr>
                <w:rFonts w:ascii="굴림체" w:cs="굴림체" w:eastAsia="굴림체" w:hAnsi="굴림체"/>
                <w:color w:val="1A1A1A"/>
                <w:sz w:val="16"/>
                <w:szCs w:val="16"/>
              </w:rPr>
              <w:t xml:space="preserve">└───────────────────────────────────────────────────────────┘</w:t>
            </w:r>
          </w:p>
        </w:tc>
      </w:tr>
    </w:tbl>
    <w:p>
      <w:pPr>
        <w:spacing w:after="160" w:before="0"/>
      </w:pPr>
    </w:p>
    <w:p>
      <w:pPr>
        <w:keepNext/>
        <w:spacing w:after="90" w:before="220"/>
      </w:pPr>
      <w:r>
        <w:rPr>
          <w:rFonts w:ascii="맑은 고딕" w:cs="맑은 고딕" w:eastAsia="맑은 고딕" w:hAnsi="맑은 고딕"/>
          <w:b/>
          <w:bCs/>
          <w:color w:val="1F3864"/>
          <w:sz w:val="18"/>
          <w:szCs w:val="18"/>
        </w:rPr>
        <w:t xml:space="preserve">[표 5-5] 각 층의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150"/>
        <w:gridCol w:w="733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층</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단위</w:t>
            </w:r>
          </w:p>
        </w:tc>
        <w:tc>
          <w:tcPr>
            <w:tcW w:type="dxa" w:w="73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카테고리</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판정(5.8)이 내려지는 단위. 경영진 보고와 고객 설득 논리(제6장)의 구성 단위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레이어</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독립성</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생성 주체·수집 경로가 구분되는 데이터셋. 교차검증(5.4.3)이 수행되는 단위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재현성</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정의·산식·공간단위·출처·갱신주기·신뢰등급이 등록되어, 누가 계산해도 같은 값이 산출되는 단위</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표준 지표 사전은 300개 이상의 지표로 구성됩니다. 다만 다음을 명시합니다. </w:t>
      </w:r>
      <w:r>
        <w:rPr>
          <w:rFonts w:ascii="맑은 고딕" w:cs="맑은 고딕" w:eastAsia="맑은 고딕" w:hAnsi="맑은 고딕"/>
          <w:b/>
          <w:bCs/>
          <w:i w:val="false"/>
          <w:iCs w:val="false"/>
          <w:color w:val="1A1A1A"/>
          <w:sz w:val="20"/>
          <w:szCs w:val="20"/>
        </w:rPr>
        <w:t xml:space="preserve">현장별로 실제 적용되는 지표 수는 데이터 커버리지(5.10)에 따라 달라지며, 계약 전에 커버리지표로 확정하여 제출합니다.</w:t>
      </w:r>
      <w:r>
        <w:rPr>
          <w:rFonts w:ascii="맑은 고딕" w:cs="맑은 고딕" w:eastAsia="맑은 고딕" w:hAnsi="맑은 고딕"/>
          <w:b w:val="false"/>
          <w:bCs w:val="false"/>
          <w:i w:val="false"/>
          <w:iCs w:val="false"/>
          <w:color w:val="1A1A1A"/>
          <w:sz w:val="20"/>
          <w:szCs w:val="20"/>
        </w:rPr>
        <w:t xml:space="preserve"> 지표 수는 과시의 대상이 아니라 관리의 대상입니다.</w:t>
      </w:r>
    </w:p>
    <w:p>
      <w:pPr>
        <w:pStyle w:val="Heading2"/>
        <w:keepNext/>
        <w:spacing w:after="140" w:before="300"/>
      </w:pPr>
      <w:r>
        <w:rPr>
          <w:rFonts w:ascii="맑은 고딕" w:cs="맑은 고딕" w:eastAsia="맑은 고딕" w:hAnsi="맑은 고딕"/>
          <w:b/>
          <w:bCs/>
          <w:color w:val="1A1A1A"/>
          <w:sz w:val="23"/>
          <w:szCs w:val="23"/>
        </w:rPr>
        <w:t xml:space="preserve">5.3 7대 코어 카테고리와 15개 데이터 레이어</w:t>
      </w:r>
    </w:p>
    <w:p>
      <w:pPr>
        <w:pStyle w:val="Heading3"/>
        <w:keepNext/>
        <w:spacing w:after="110" w:before="240"/>
      </w:pPr>
      <w:r>
        <w:rPr>
          <w:rFonts w:ascii="맑은 고딕" w:cs="맑은 고딕" w:eastAsia="맑은 고딕" w:hAnsi="맑은 고딕"/>
          <w:b/>
          <w:bCs/>
          <w:color w:val="5A5A5A"/>
          <w:sz w:val="20"/>
          <w:szCs w:val="20"/>
        </w:rPr>
        <w:t xml:space="preserve">5.3.1 전체 구성</w:t>
      </w:r>
    </w:p>
    <w:p>
      <w:pPr>
        <w:keepNext/>
        <w:spacing w:after="90" w:before="220"/>
      </w:pPr>
      <w:r>
        <w:rPr>
          <w:rFonts w:ascii="맑은 고딕" w:cs="맑은 고딕" w:eastAsia="맑은 고딕" w:hAnsi="맑은 고딕"/>
          <w:b/>
          <w:bCs/>
          <w:color w:val="1F3864"/>
          <w:sz w:val="18"/>
          <w:szCs w:val="18"/>
        </w:rPr>
        <w:t xml:space="preserve">[표 5-6] 카테고리·레이어·지표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4"/>
        <w:gridCol w:w="3016"/>
        <w:gridCol w:w="3900"/>
        <w:gridCol w:w="1398"/>
      </w:tblGrid>
      <w:tr>
        <w:trPr>
          <w:cantSplit/>
          <w:tblHeader/>
        </w:trPr>
        <w:tc>
          <w:tcPr>
            <w:tcW w:type="dxa" w:w="1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카테고리</w:t>
            </w:r>
          </w:p>
        </w:tc>
        <w:tc>
          <w:tcPr>
            <w:tcW w:type="dxa" w:w="30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답하는 질문</w:t>
            </w:r>
          </w:p>
        </w:tc>
        <w:tc>
          <w:tcPr>
            <w:tcW w:type="dxa" w:w="39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데이터 레이어</w:t>
            </w:r>
          </w:p>
        </w:tc>
        <w:tc>
          <w:tcPr>
            <w:tcW w:type="dxa" w:w="139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지표 (예시 수)</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 인구·가구 기반</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거주 수요가 형성·유지되는가?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 상주인구·인구구조 / L2 가구·주거수요 / L3 인구이동</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60개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 고용·소득 기반</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배후 수요와 구매력이 뒷받침되는가?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L4 사업체·고용 / L5 소득·구매력</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40개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 이동·교통</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사람의 흐름과 접근성이 경쟁력 있는가?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L6 유동인구 / L7 생활이동·O/D / L8 교통망·접근성</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60개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C4. 상권·소비</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생활권이 소비를 지탱할 만큼 성숙한가?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L9 상권 활동 / L10 카드소비</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35개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주택시장</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호가가 아닌 시장가격은 어떻게 움직이는가?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L11 매매·전월세 실거래 / L12 청약·미분양</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45개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 공급</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희소성인가, 공급 부담인가?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L13 공급 파이프라인</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25개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C7. 개발·도시계획</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가치를 바꿀 계획이 실제로 진행되는가?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L14 개발계획·공공투자 / L15 도시계획·토지이용</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40개</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지표 수는 표준 지표 사전 기준의 근사치이며, 현장 적용 수는 커버리지 확정 후 결정됩니다.</w:t>
      </w:r>
    </w:p>
    <w:p>
      <w:pPr>
        <w:pStyle w:val="Heading3"/>
        <w:keepNext/>
        <w:spacing w:after="110" w:before="240"/>
      </w:pPr>
      <w:r>
        <w:rPr>
          <w:rFonts w:ascii="맑은 고딕" w:cs="맑은 고딕" w:eastAsia="맑은 고딕" w:hAnsi="맑은 고딕"/>
          <w:b/>
          <w:bCs/>
          <w:color w:val="5A5A5A"/>
          <w:sz w:val="20"/>
          <w:szCs w:val="20"/>
        </w:rPr>
        <w:t xml:space="preserve">5.3.2 C1. 인구·가구 기반 — 거주 수요의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 상주인구·인구구조 (Demographic Analysis)</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생활권 내 실제 거주 인구의 규모와 구조를 격자·집계구 단위로 분석합니다. 시·구 평균에 가려진 생활권 단위의 실제 인구 동태를 확인하는 것이 목적입니다.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 상주인구와 다년 증감률 / 연령대별 구성과 핵심 수요 연령(30~40대) 비중 / 생산가능인구 비율 / 고령화 속도 / 인구 피라미드의 형태 변화 / 세대당 인구</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L2 가구·주거수요 (Household Demand)</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주택을 구매하는 단위는 개인이 아니라 가구입니다. 현장의 평형 구성이 생활권의 가구 구조와 정합하는지를 검증합니다.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가구수 증감 / 가구 유형(1인·신혼·유자녀·고령) 구성 / 평균 가구원수 추이 / 주택 점유형태(자가·전세·월세) 분포 / 주택 유형별 거주 현황 / 가구 분화 속도</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검증 예시:</w:t>
      </w:r>
      <w:r>
        <w:rPr>
          <w:rFonts w:ascii="맑은 고딕" w:cs="맑은 고딕" w:eastAsia="맑은 고딕" w:hAnsi="맑은 고딕"/>
          <w:b w:val="false"/>
          <w:bCs w:val="false"/>
          <w:i w:val="false"/>
          <w:iCs w:val="false"/>
          <w:color w:val="1A1A1A"/>
          <w:sz w:val="20"/>
          <w:szCs w:val="20"/>
        </w:rPr>
        <w:t xml:space="preserve"> 중대형 중심 현장의 생활권에서 1인 가구만 증가하고 있다면, 평형 구성과 수요 구조의 불일치를 조기에 확인할 수 있습니다.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L3 인구이동 (Migration)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전입·전출 순이동 / 연령대별 이동 방향 / 유입 상위 출발지 / 유출 상위 목적지 / 시점별 이동 추세</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"어디에서 누가 들어오고 있는가"는 광고 타깃 지역 설계(제8장)의 직접적 입력값이 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교차검증:</w:t>
      </w:r>
      <w:r>
        <w:rPr>
          <w:rFonts w:ascii="맑은 고딕" w:cs="맑은 고딕" w:eastAsia="맑은 고딕" w:hAnsi="맑은 고딕"/>
          <w:b w:val="false"/>
          <w:bCs w:val="false"/>
          <w:i w:val="false"/>
          <w:iCs w:val="false"/>
          <w:color w:val="1A1A1A"/>
          <w:sz w:val="20"/>
          <w:szCs w:val="20"/>
        </w:rPr>
        <w:t xml:space="preserve"> 통계상 유입 출발지 구성은 </w:t>
      </w:r>
      <w:r>
        <w:rPr>
          <w:rFonts w:ascii="맑은 고딕" w:cs="맑은 고딕" w:eastAsia="맑은 고딕" w:hAnsi="맑은 고딕"/>
          <w:b/>
          <w:bCs/>
          <w:i w:val="false"/>
          <w:iCs w:val="false"/>
          <w:color w:val="1A1A1A"/>
          <w:sz w:val="20"/>
          <w:szCs w:val="20"/>
        </w:rPr>
        <w:t xml:space="preserve">현장 방문객의 실제 거주지 분포(제9장 CRM에서 축적)와 대조</w:t>
      </w:r>
      <w:r>
        <w:rPr>
          <w:rFonts w:ascii="맑은 고딕" w:cs="맑은 고딕" w:eastAsia="맑은 고딕" w:hAnsi="맑은 고딕"/>
          <w:b w:val="false"/>
          <w:bCs w:val="false"/>
          <w:i w:val="false"/>
          <w:iCs w:val="false"/>
          <w:color w:val="1A1A1A"/>
          <w:sz w:val="20"/>
          <w:szCs w:val="20"/>
        </w:rPr>
        <w:t xml:space="preserve">됩니다. 통계상 유입이 거의 없는 지역에서 방문객이 몰린다면 수요 가정이 틀렸거나 광고 타깃이 실제 수요와 어긋난 것이므로, 어느 쪽이든 재검토 대상으로 지정됩니다(5.11.3).</w:t>
      </w:r>
    </w:p>
    <w:p>
      <w:pPr>
        <w:pStyle w:val="Heading3"/>
        <w:keepNext/>
        <w:spacing w:after="110" w:before="240"/>
      </w:pPr>
      <w:r>
        <w:rPr>
          <w:rFonts w:ascii="맑은 고딕" w:cs="맑은 고딕" w:eastAsia="맑은 고딕" w:hAnsi="맑은 고딕"/>
          <w:b/>
          <w:bCs/>
          <w:color w:val="5A5A5A"/>
          <w:sz w:val="20"/>
          <w:szCs w:val="20"/>
        </w:rPr>
        <w:t xml:space="preserve">5.3.3 C2. 고용·소득 기반 — 배후 수요와 구매력의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L4 사업체·고용 (Employment Demand)</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직주근접은 분양 설득의 핵심 논리이지만, 검증 없이 사용되면 가장 쉽게 반박되는 논리이기도 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시간권 내 사업체 수·종사자 수와 증감 / 산업 대분류별 고용 구성 / 주간인구 대 야간인구 비율 / 고용 밀도 / 대규모 사업장·산업단지의 고용 규모와 통근권</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서술 원칙:</w:t>
      </w:r>
      <w:r>
        <w:rPr>
          <w:rFonts w:ascii="맑은 고딕" w:cs="맑은 고딕" w:eastAsia="맑은 고딕" w:hAnsi="맑은 고딕"/>
          <w:b w:val="false"/>
          <w:bCs w:val="false"/>
          <w:i w:val="false"/>
          <w:iCs w:val="false"/>
          <w:color w:val="1A1A1A"/>
          <w:sz w:val="20"/>
          <w:szCs w:val="20"/>
        </w:rPr>
        <w:t xml:space="preserve"> "일자리가 많다"가 아니라 </w:t>
      </w:r>
      <w:r>
        <w:rPr>
          <w:rFonts w:ascii="맑은 고딕" w:cs="맑은 고딕" w:eastAsia="맑은 고딕" w:hAnsi="맑은 고딕"/>
          <w:b/>
          <w:bCs/>
          <w:i w:val="false"/>
          <w:iCs w:val="false"/>
          <w:color w:val="1A1A1A"/>
          <w:sz w:val="20"/>
          <w:szCs w:val="20"/>
        </w:rPr>
        <w:t xml:space="preserve">"현장에서 몇 분 시간권에, 어떤 산업의, 몇 명의 고용이, 어떤 추세로 존재한다"</w:t>
      </w:r>
      <w:r>
        <w:rPr>
          <w:rFonts w:ascii="맑은 고딕" w:cs="맑은 고딕" w:eastAsia="맑은 고딕" w:hAnsi="맑은 고딕"/>
          <w:b w:val="false"/>
          <w:bCs w:val="false"/>
          <w:i w:val="false"/>
          <w:iCs w:val="false"/>
          <w:color w:val="1A1A1A"/>
          <w:sz w:val="20"/>
          <w:szCs w:val="20"/>
        </w:rPr>
        <w:t xml:space="preserve">로 답합니다.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L5 소득·구매력 (Income)</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수요는 의사만으로 성립하지 않고 지불 능력으로 완성됩니다.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생활권·통근권 가구소득 분포 / 소득 구간별 가구 비중 / 주택구매력 추정(소득 대비 총취득원가 배수) / 대출 여력과 금리 민감도 / 전세 보증금 수준</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분양가가 형성된 시장의 구매력 범위 안에 있는지를 판정하며, 가격 저항(제6장)의 구조적 원인을 이 레이어에서 확인합니다.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가정과 실측의 분리:</w:t>
      </w:r>
      <w:r>
        <w:rPr>
          <w:rFonts w:ascii="맑은 고딕" w:cs="맑은 고딕" w:eastAsia="맑은 고딕" w:hAnsi="맑은 고딕"/>
          <w:b w:val="false"/>
          <w:bCs w:val="false"/>
          <w:i w:val="false"/>
          <w:iCs w:val="false"/>
          <w:color w:val="1A1A1A"/>
          <w:sz w:val="20"/>
          <w:szCs w:val="20"/>
        </w:rPr>
        <w:t xml:space="preserve"> 공개 통계가 제공하는 것은 평균·중위 같은 대표값이지 가구별 분포가 아닙니다. 당사는 </w:t>
      </w:r>
      <w:r>
        <w:rPr>
          <w:rFonts w:ascii="맑은 고딕" w:cs="맑은 고딕" w:eastAsia="맑은 고딕" w:hAnsi="맑은 고딕"/>
          <w:b/>
          <w:bCs/>
          <w:i w:val="false"/>
          <w:iCs w:val="false"/>
          <w:color w:val="1A1A1A"/>
          <w:sz w:val="20"/>
          <w:szCs w:val="20"/>
        </w:rPr>
        <w:t xml:space="preserve">분포의 중심값을 시군구 실측 중위소득으로 고정</w:t>
      </w:r>
      <w:r>
        <w:rPr>
          <w:rFonts w:ascii="맑은 고딕" w:cs="맑은 고딕" w:eastAsia="맑은 고딕" w:hAnsi="맑은 고딕"/>
          <w:b w:val="false"/>
          <w:bCs w:val="false"/>
          <w:i w:val="false"/>
          <w:iCs w:val="false"/>
          <w:color w:val="1A1A1A"/>
          <w:sz w:val="20"/>
          <w:szCs w:val="20"/>
        </w:rPr>
        <w:t xml:space="preserve">하고, 분포의 형태(로그정규 근사)와 산포는 가정으로 남긴 뒤 그 사실을 리포트에 병기합니다. "전부 가정"과 "형태만 가정"은 다른 상태이며, 그 차이를 발주처가 구분할 수 있어야 합니다.</w:t>
      </w:r>
    </w:p>
    <w:p>
      <w:pPr>
        <w:pStyle w:val="Heading3"/>
        <w:keepNext/>
        <w:spacing w:after="110" w:before="240"/>
      </w:pPr>
      <w:r>
        <w:rPr>
          <w:rFonts w:ascii="맑은 고딕" w:cs="맑은 고딕" w:eastAsia="맑은 고딕" w:hAnsi="맑은 고딕"/>
          <w:b/>
          <w:bCs/>
          <w:color w:val="5A5A5A"/>
          <w:sz w:val="20"/>
          <w:szCs w:val="20"/>
        </w:rPr>
        <w:t xml:space="preserve">5.3.4 C3. 이동·교통 — 흐름과 접근성의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L6 유동인구 (Floating Population)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시간대별·요일별 유동량 / 주중·주말 패턴 / 체류형 대 통과형 비율 / 유동 발생 목적지(상업·업무·교육) 분포 / 시간당 평균 체류 인구</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정제 원칙:</w:t>
      </w:r>
      <w:r>
        <w:rPr>
          <w:rFonts w:ascii="맑은 고딕" w:cs="맑은 고딕" w:eastAsia="맑은 고딕" w:hAnsi="맑은 고딕"/>
          <w:b w:val="false"/>
          <w:bCs w:val="false"/>
          <w:i w:val="false"/>
          <w:iCs w:val="false"/>
          <w:color w:val="1A1A1A"/>
          <w:sz w:val="20"/>
          <w:szCs w:val="20"/>
        </w:rPr>
        <w:t xml:space="preserve"> 통과 인구를 생활권 활력으로 오독하지 않도록 체류·통과를 분리하고, 표본·중복 단말 보정을 적용합니다. 민간 모바일 유동 데이터는 라이선스 확인 후 적용하며, 미확보 시 공공 대체 지표와 그 한계를 명시합니다(5.10).</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L7 생활이동·O/D (Mobility)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출발지-도착지(O/D) 통행량 / 통근·통학 흐름의 방향과 규모 / 생활권 간 이동 의존도 / 대중교통 대 승용차 수단 분담률</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현장이 사람들의 실제 동선 위에 있는지, 동선 밖에 있는지를 데이터로 확인합니다.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L8 교통망·접근성 (Transportation)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도보·차량·대중교통별 실제 이동시간(네트워크 기준) / 주요 고용 중심지·생활 거점까지의 소요시간 / 역·정류장 접근성 / 도로 위계와 혼잡도 / 개통 예정 노선 반영 전후의 접근성 변화 시뮬레이션</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통제 원칙:</w:t>
      </w:r>
      <w:r>
        <w:rPr>
          <w:rFonts w:ascii="맑은 고딕" w:cs="맑은 고딕" w:eastAsia="맑은 고딕" w:hAnsi="맑은 고딕"/>
          <w:b w:val="false"/>
          <w:bCs w:val="false"/>
          <w:i w:val="false"/>
          <w:iCs w:val="false"/>
          <w:color w:val="1A1A1A"/>
          <w:sz w:val="20"/>
          <w:szCs w:val="20"/>
        </w:rPr>
        <w:t xml:space="preserve"> "역세권" 표현은 이 레이어의 계산 결과가 뒷받침할 때만 사용 가능 등급(14.5)을 받습니다. 통제는 사후 검수가 아니라 </w:t>
      </w:r>
      <w:r>
        <w:rPr>
          <w:rFonts w:ascii="맑은 고딕" w:cs="맑은 고딕" w:eastAsia="맑은 고딕" w:hAnsi="맑은 고딕"/>
          <w:b/>
          <w:bCs/>
          <w:i w:val="false"/>
          <w:iCs w:val="false"/>
          <w:color w:val="1A1A1A"/>
          <w:sz w:val="20"/>
          <w:szCs w:val="20"/>
        </w:rPr>
        <w:t xml:space="preserve">문장 생성 단계</w:t>
      </w:r>
      <w:r>
        <w:rPr>
          <w:rFonts w:ascii="맑은 고딕" w:cs="맑은 고딕" w:eastAsia="맑은 고딕" w:hAnsi="맑은 고딕"/>
          <w:b w:val="false"/>
          <w:bCs w:val="false"/>
          <w:i w:val="false"/>
          <w:iCs w:val="false"/>
          <w:color w:val="1A1A1A"/>
          <w:sz w:val="20"/>
          <w:szCs w:val="20"/>
        </w:rPr>
        <w:t xml:space="preserve">에서 이루어집니다 — 최근접역이 보행 보정 기준 도보 10분 이내일 때만 "도보 n분" 문장이 만들어지고, 그 밖에는 문장 자체가 생성되지 않으며 리포트에 실측 직선거리와 함께 "역세권 표현 사용 불가"가 기재됩니다. 현장이 접근성을 주장하려면 좌표가 먼저 그것을 지지해야 합니다.</w:t>
      </w:r>
    </w:p>
    <w:p>
      <w:pPr>
        <w:pStyle w:val="Heading3"/>
        <w:keepNext/>
        <w:spacing w:after="110" w:before="240"/>
      </w:pPr>
      <w:r>
        <w:rPr>
          <w:rFonts w:ascii="맑은 고딕" w:cs="맑은 고딕" w:eastAsia="맑은 고딕" w:hAnsi="맑은 고딕"/>
          <w:b/>
          <w:bCs/>
          <w:color w:val="5A5A5A"/>
          <w:sz w:val="20"/>
          <w:szCs w:val="20"/>
        </w:rPr>
        <w:t xml:space="preserve">5.3.5 C4. 상권·소비 — 생활권 성숙도의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L9 상권 활동 (Commercial Activity)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업종별 점포 수와 구성 / 개업·폐업률과 생존율 / 프랜차이즈 침투율 / 공실 추정 / 생활 필수 업종(식료품·의료·교육)의 충족도</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판정 원칙:</w:t>
      </w:r>
      <w:r>
        <w:rPr>
          <w:rFonts w:ascii="맑은 고딕" w:cs="맑은 고딕" w:eastAsia="맑은 고딕" w:hAnsi="맑은 고딕"/>
          <w:b w:val="false"/>
          <w:bCs w:val="false"/>
          <w:i w:val="false"/>
          <w:iCs w:val="false"/>
          <w:color w:val="1A1A1A"/>
          <w:sz w:val="20"/>
          <w:szCs w:val="20"/>
        </w:rPr>
        <w:t xml:space="preserve"> 폐업률이 상승하는 상권과 신규 개업이 지속되는 상권은 동일한 "상권 발달"로 분류할 수 없습니다.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L10 카드소비 (Card Spending)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업종별 카드 매출 규모와 증감 / 소비 시간대 분포 / 거주자 소비 대 유입 소비 비율 / 객단가 추이</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적용 조건:</w:t>
      </w:r>
      <w:r>
        <w:rPr>
          <w:rFonts w:ascii="맑은 고딕" w:cs="맑은 고딕" w:eastAsia="맑은 고딕" w:hAnsi="맑은 고딕"/>
          <w:b w:val="false"/>
          <w:bCs w:val="false"/>
          <w:i w:val="false"/>
          <w:iCs w:val="false"/>
          <w:color w:val="1A1A1A"/>
          <w:sz w:val="20"/>
          <w:szCs w:val="20"/>
        </w:rPr>
        <w:t xml:space="preserve"> 익명 카드소비 데이터는 별도 협의·라이선스 대상입니다(5.10). 확보 시 상권의 실제 자금 흐름을, 미확보 시 공공 상권 데이터 기반의 대체 분석과 그 한계를 명시합니다.</w:t>
      </w:r>
    </w:p>
    <w:p>
      <w:pPr>
        <w:pStyle w:val="Heading3"/>
        <w:keepNext/>
        <w:spacing w:after="110" w:before="240"/>
      </w:pPr>
      <w:r>
        <w:rPr>
          <w:rFonts w:ascii="맑은 고딕" w:cs="맑은 고딕" w:eastAsia="맑은 고딕" w:hAnsi="맑은 고딕"/>
          <w:b/>
          <w:bCs/>
          <w:color w:val="5A5A5A"/>
          <w:sz w:val="20"/>
          <w:szCs w:val="20"/>
        </w:rPr>
        <w:t xml:space="preserve">5.3.6 C5. 주택시장 — 시장 신호의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L11 매매·전월세 실거래 (Housing Transactions)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정제된 실거래가와 추세(취소·중복·이상·특수관계 거래 제거 후) / 거래량과 거래 회전율 / 전세가와 전세가율 / 월세 전환 추이 / 매도 소요기간 추정 / 단지 내 가격 분산 / 시장 지수 대비 초과·미달 성과 / </w:t>
            </w:r>
            <w:r>
              <w:rPr>
                <w:rFonts w:ascii="맑은 고딕" w:cs="맑은 고딕" w:eastAsia="맑은 고딕" w:hAnsi="맑은 고딕"/>
                <w:b/>
                <w:bCs/>
                <w:color w:val="1A1A1A"/>
                <w:sz w:val="18"/>
                <w:szCs w:val="18"/>
              </w:rPr>
              <w:t xml:space="preserve">분양권·입주권 실거래와 프리미엄 추이</w:t>
            </w:r>
            <w:r>
              <w:rPr>
                <w:rFonts w:ascii="맑은 고딕" w:cs="맑은 고딕" w:eastAsia="맑은 고딕" w:hAnsi="맑은 고딕"/>
                <w:color w:val="1A1A1A"/>
                <w:sz w:val="18"/>
                <w:szCs w:val="18"/>
              </w:rPr>
              <w:t xml:space="preserve"> / </w:t>
            </w:r>
            <w:r>
              <w:rPr>
                <w:rFonts w:ascii="맑은 고딕" w:cs="맑은 고딕" w:eastAsia="맑은 고딕" w:hAnsi="맑은 고딕"/>
                <w:b/>
                <w:bCs/>
                <w:color w:val="1A1A1A"/>
                <w:sz w:val="18"/>
                <w:szCs w:val="18"/>
              </w:rPr>
              <w:t xml:space="preserve">매물량 증감과 호가-실거래 갭</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분석 원칙:</w:t>
      </w:r>
      <w:r>
        <w:rPr>
          <w:rFonts w:ascii="맑은 고딕" w:cs="맑은 고딕" w:eastAsia="맑은 고딕" w:hAnsi="맑은 고딕"/>
          <w:b w:val="false"/>
          <w:bCs w:val="false"/>
          <w:i w:val="false"/>
          <w:iCs w:val="false"/>
          <w:color w:val="1A1A1A"/>
          <w:sz w:val="20"/>
          <w:szCs w:val="20"/>
        </w:rPr>
        <w:t xml:space="preserve"> 호가가 아니라 체결가가, 한 건이 아니라 분포가 분석 대상입니다. 두 가지를 보완적으로 사용합니다. 첫째, </w:t>
      </w:r>
      <w:r>
        <w:rPr>
          <w:rFonts w:ascii="맑은 고딕" w:cs="맑은 고딕" w:eastAsia="맑은 고딕" w:hAnsi="맑은 고딕"/>
          <w:b/>
          <w:bCs/>
          <w:i w:val="false"/>
          <w:iCs w:val="false"/>
          <w:color w:val="1A1A1A"/>
          <w:sz w:val="20"/>
          <w:szCs w:val="20"/>
        </w:rPr>
        <w:t xml:space="preserve">신축 분양 현장의 우선 비교군은 구축 아파트가 아니라 인근 분양권·입주권 실거래</w:t>
      </w:r>
      <w:r>
        <w:rPr>
          <w:rFonts w:ascii="맑은 고딕" w:cs="맑은 고딕" w:eastAsia="맑은 고딕" w:hAnsi="맑은 고딕"/>
          <w:b w:val="false"/>
          <w:bCs w:val="false"/>
          <w:i w:val="false"/>
          <w:iCs w:val="false"/>
          <w:color w:val="1A1A1A"/>
          <w:sz w:val="20"/>
          <w:szCs w:val="20"/>
        </w:rPr>
        <w:t xml:space="preserve">입니다 — 상품 연식·조건이 가장 유사한 시장 신호이기 때문입니다. 둘째, 실거래는 후행 지표이므로 </w:t>
      </w:r>
      <w:r>
        <w:rPr>
          <w:rFonts w:ascii="맑은 고딕" w:cs="맑은 고딕" w:eastAsia="맑은 고딕" w:hAnsi="맑은 고딕"/>
          <w:b/>
          <w:bCs/>
          <w:i w:val="false"/>
          <w:iCs w:val="false"/>
          <w:color w:val="1A1A1A"/>
          <w:sz w:val="20"/>
          <w:szCs w:val="20"/>
        </w:rPr>
        <w:t xml:space="preserve">매물량 증감과 호가-실거래 갭을 선행 신호</w:t>
      </w:r>
      <w:r>
        <w:rPr>
          <w:rFonts w:ascii="맑은 고딕" w:cs="맑은 고딕" w:eastAsia="맑은 고딕" w:hAnsi="맑은 고딕"/>
          <w:b w:val="false"/>
          <w:bCs w:val="false"/>
          <w:i w:val="false"/>
          <w:iCs w:val="false"/>
          <w:color w:val="1A1A1A"/>
          <w:sz w:val="20"/>
          <w:szCs w:val="20"/>
        </w:rPr>
        <w:t xml:space="preserve">로 함께 추적하여 시장 전환을 조기에 포착합니다(조기경보 체계 5.11.2와 연결).</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L12 청약·미분양 (Unsold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인근 청약 경쟁률과 미달 이력 / 가점 커트라인 추이 / 미분양 재고와 소진 속도 / 준공 후 미분양 비율 / 계약 해지율 / 청약 신청자의 거주지 분포</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교차 활용:</w:t>
      </w:r>
      <w:r>
        <w:rPr>
          <w:rFonts w:ascii="맑은 고딕" w:cs="맑은 고딕" w:eastAsia="맑은 고딕" w:hAnsi="맑은 고딕"/>
          <w:b w:val="false"/>
          <w:bCs w:val="false"/>
          <w:i w:val="false"/>
          <w:iCs w:val="false"/>
          <w:color w:val="1A1A1A"/>
          <w:sz w:val="20"/>
          <w:szCs w:val="20"/>
        </w:rPr>
        <w:t xml:space="preserve"> 미분양은 공급 과잉의 후행 증거이자 수요 한계의 직접 증거이므로, C6 공급 분석과 반드시 교차검증됩니다. 최근 6개월 미분양이 20% 이상 증가하면, 확률조정 공급 부담이 낮게 산출되더라도 공급 판정(5.8 ③)을 위험 방향으로 상향합니다.</w:t>
      </w:r>
    </w:p>
    <w:p>
      <w:pPr>
        <w:pStyle w:val="Heading3"/>
        <w:keepNext/>
        <w:spacing w:after="110" w:before="240"/>
      </w:pPr>
      <w:r>
        <w:rPr>
          <w:rFonts w:ascii="맑은 고딕" w:cs="맑은 고딕" w:eastAsia="맑은 고딕" w:hAnsi="맑은 고딕"/>
          <w:b/>
          <w:bCs/>
          <w:color w:val="5A5A5A"/>
          <w:sz w:val="20"/>
          <w:szCs w:val="20"/>
        </w:rPr>
        <w:t xml:space="preserve">5.3.7 C6. 공급 — 경쟁 물량의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L13 공급 파이프라인 (Supply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인허가·착공·분양·입주예정 물량의 단계별 집계 / 시기별 입주 집중도 / 경쟁 시장권 내 동일 상품 유형 물량 / 확률조정 공급 / 정비사업 진행 물량</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산출 방식:</w:t>
      </w:r>
      <w:r>
        <w:rPr>
          <w:rFonts w:ascii="맑은 고딕" w:cs="맑은 고딕" w:eastAsia="맑은 고딕" w:hAnsi="맑은 고딕"/>
          <w:b w:val="false"/>
          <w:bCs w:val="false"/>
          <w:i w:val="false"/>
          <w:iCs w:val="false"/>
          <w:color w:val="1A1A1A"/>
          <w:sz w:val="20"/>
          <w:szCs w:val="20"/>
        </w:rPr>
        <w:t xml:space="preserve"> 발표된 모든 세대를 동일하게 합산하지 않습니다.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확률조정 공급 = Σ (각 공급 물량 × 해당 단계에서 실제 입주 기간 내에 실현될 가능성)</w:t>
            </w:r>
          </w:p>
        </w:tc>
      </w:tr>
    </w:tbl>
    <w:p>
      <w:pPr>
        <w:spacing w:after="18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공급은 현장의 가격·판촉 전략에 시한을 부여하는 변수이므로, 물량의 총량보다 </w:t>
      </w:r>
      <w:r>
        <w:rPr>
          <w:rFonts w:ascii="맑은 고딕" w:cs="맑은 고딕" w:eastAsia="맑은 고딕" w:hAnsi="맑은 고딕"/>
          <w:b/>
          <w:bCs/>
          <w:i w:val="false"/>
          <w:iCs w:val="false"/>
          <w:color w:val="1A1A1A"/>
          <w:sz w:val="20"/>
          <w:szCs w:val="20"/>
        </w:rPr>
        <w:t xml:space="preserve">시기 축</w:t>
      </w:r>
      <w:r>
        <w:rPr>
          <w:rFonts w:ascii="맑은 고딕" w:cs="맑은 고딕" w:eastAsia="맑은 고딕" w:hAnsi="맑은 고딕"/>
          <w:b w:val="false"/>
          <w:bCs w:val="false"/>
          <w:i w:val="false"/>
          <w:iCs w:val="false"/>
          <w:color w:val="1A1A1A"/>
          <w:sz w:val="20"/>
          <w:szCs w:val="20"/>
        </w:rPr>
        <w:t xml:space="preserve">이 중요합니다.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목록의 검증:</w:t>
      </w:r>
      <w:r>
        <w:rPr>
          <w:rFonts w:ascii="맑은 고딕" w:cs="맑은 고딕" w:eastAsia="맑은 고딕" w:hAnsi="맑은 고딕"/>
          <w:b w:val="false"/>
          <w:bCs w:val="false"/>
          <w:i w:val="false"/>
          <w:iCs w:val="false"/>
          <w:color w:val="1A1A1A"/>
          <w:sz w:val="20"/>
          <w:szCs w:val="20"/>
        </w:rPr>
        <w:t xml:space="preserve"> 공급 목록이 수기 입력에만 의존하면, 공급 판정은 입력한 사람의 주장을 되돌려 주는 것에 지나지 않습니다. 당사는 주택건설실적 통계(인허가·착공·분양·준공)를 별도로 수집하여 두 가지로 사용합니다.</w:t>
      </w:r>
    </w:p>
    <w:p>
      <w:pPr>
        <w:keepNext/>
        <w:spacing w:after="90" w:before="220"/>
      </w:pPr>
      <w:r>
        <w:rPr>
          <w:rFonts w:ascii="맑은 고딕" w:cs="맑은 고딕" w:eastAsia="맑은 고딕" w:hAnsi="맑은 고딕"/>
          <w:b/>
          <w:bCs/>
          <w:color w:val="1F3864"/>
          <w:sz w:val="18"/>
          <w:szCs w:val="18"/>
        </w:rPr>
        <w:t xml:space="preserve">[표 5-6-1] 주택건설실적의 두 가지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선행 신호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인허가는 착공·분양의 선행 지표입니다. 전년 대비 30% 이상 급증하면, 현재 공급 부담이 낮더라도 중기 위험이 남아 있으므로 공급 판정을 '긍정'으로 닫지 않습니다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목록 교차검증</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입력된 공급 목록(현장 인근)을 시군구 전체 인허가 실적과 대조합니다. 범위가 다르므로 인근 물량이 실적보다 작은 것은 정상이며, </w:t>
            </w:r>
            <w:r>
              <w:rPr>
                <w:rFonts w:ascii="맑은 고딕" w:cs="맑은 고딕" w:eastAsia="맑은 고딕" w:hAnsi="맑은 고딕"/>
                <w:b/>
                <w:bCs/>
                <w:color w:val="1A1A1A"/>
                <w:sz w:val="18"/>
                <w:szCs w:val="18"/>
              </w:rPr>
              <w:t xml:space="preserve">뒤집혀 있을 때</w:t>
            </w:r>
            <w:r>
              <w:rPr>
                <w:rFonts w:ascii="맑은 고딕" w:cs="맑은 고딕" w:eastAsia="맑은 고딕" w:hAnsi="맑은 고딕"/>
                <w:color w:val="1A1A1A"/>
                <w:sz w:val="18"/>
                <w:szCs w:val="18"/>
              </w:rPr>
              <w:t xml:space="preserve"> — 인근 목록이 시군구 전체 인허가를 넘어설 때 — 중복 집계·취소 사업 포함 여부를 경고합니다</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5.3.8 C7. 개발·도시계획 — 미래 변화의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L14 개발계획·공공투자 (Development Plans)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교통·기반시설 사업의 성숙도 단계(5.6) / 총사업비와 확보·집행 예산 / 계약·보상·착공·공정 상태 / 유사 사업의 과거 가격 영향(이벤트 스터디) / 시장 선반영 정도 / 지연·취소 이력</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L15 도시계획·토지이용 (Urban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용도지역·지구단위계획의 법적 강도 / 개발행위 제한과 완화 / 계획 변경 이력 / 주변 가용지와 잠재 공급 가능성 / 기피시설·환경 요인</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균형 원칙:</w:t>
      </w:r>
      <w:r>
        <w:rPr>
          <w:rFonts w:ascii="맑은 고딕" w:cs="맑은 고딕" w:eastAsia="맑은 고딕" w:hAnsi="맑은 고딕"/>
          <w:b w:val="false"/>
          <w:bCs w:val="false"/>
          <w:i w:val="false"/>
          <w:iCs w:val="false"/>
          <w:color w:val="1A1A1A"/>
          <w:sz w:val="20"/>
          <w:szCs w:val="20"/>
        </w:rPr>
        <w:t xml:space="preserve"> 호재만이 아니라 부정 요인(추가 공급 가능성, 기피시설 입지)을 같은 레이어에서 함께 검토합니다.</w:t>
      </w:r>
    </w:p>
    <w:p>
      <w:pPr>
        <w:pStyle w:val="Heading3"/>
        <w:keepNext/>
        <w:spacing w:after="110" w:before="240"/>
      </w:pPr>
      <w:r>
        <w:rPr>
          <w:rFonts w:ascii="맑은 고딕" w:cs="맑은 고딕" w:eastAsia="맑은 고딕" w:hAnsi="맑은 고딕"/>
          <w:b/>
          <w:bCs/>
          <w:color w:val="5A5A5A"/>
          <w:sz w:val="20"/>
          <w:szCs w:val="20"/>
        </w:rPr>
        <w:t xml:space="preserve">5.3.9 카테고리 간 교차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카테고리는 병렬 나열이 아니라 검증의 그물망입니다. "이 현장의 실수요가 충분한가"라는 질문 하나에 대해 다섯 방향의 독립 측정이 수행됩니다.</w:t>
      </w:r>
    </w:p>
    <w:p>
      <w:pPr>
        <w:keepNext/>
        <w:spacing w:after="90" w:before="220"/>
      </w:pPr>
      <w:r>
        <w:rPr>
          <w:rFonts w:ascii="맑은 고딕" w:cs="맑은 고딕" w:eastAsia="맑은 고딕" w:hAnsi="맑은 고딕"/>
          <w:b/>
          <w:bCs/>
          <w:color w:val="1F3864"/>
          <w:sz w:val="18"/>
          <w:szCs w:val="18"/>
        </w:rPr>
        <w:t xml:space="preserve">[표 5-7] 단일 질문에 대한 다중 검증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4"/>
        <w:gridCol w:w="2054"/>
        <w:gridCol w:w="4740"/>
      </w:tblGrid>
      <w:tr>
        <w:trPr>
          <w:cantSplit/>
          <w:tblHeader/>
        </w:trPr>
        <w:tc>
          <w:tcPr>
            <w:tcW w:type="dxa" w:w="28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측정 방향</w:t>
            </w:r>
          </w:p>
        </w:tc>
        <w:tc>
          <w:tcPr>
            <w:tcW w:type="dxa" w:w="20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 카테고리</w:t>
            </w:r>
          </w:p>
        </w:tc>
        <w:tc>
          <w:tcPr>
            <w:tcW w:type="dxa" w:w="47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수요의 존재</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 인구·가구</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 증가와 평형 구성의 정합성</w:t>
            </w:r>
          </w:p>
        </w:tc>
      </w:tr>
      <w:tr>
        <w:trPr>
          <w:cantSplit/>
          <w:tblHeader w:val="false"/>
        </w:trPr>
        <w:tc>
          <w:tcPr>
            <w:tcW w:type="dxa" w:w="28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지불 능력</w:t>
            </w:r>
          </w:p>
        </w:tc>
        <w:tc>
          <w:tcPr>
            <w:tcW w:type="dxa" w:w="20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 고용·소득</w:t>
            </w:r>
          </w:p>
        </w:tc>
        <w:tc>
          <w:tcPr>
            <w:tcW w:type="dxa" w:w="47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소득 분포와 구매력의 뒷받침</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물리적 도달 가능성</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 이동·교통</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동선·접근성 위의 입지 여부</w:t>
            </w:r>
          </w:p>
        </w:tc>
      </w:tr>
      <w:tr>
        <w:trPr>
          <w:cantSplit/>
          <w:tblHeader w:val="false"/>
        </w:trPr>
        <w:tc>
          <w:tcPr>
            <w:tcW w:type="dxa" w:w="28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표출</w:t>
            </w:r>
          </w:p>
        </w:tc>
        <w:tc>
          <w:tcPr>
            <w:tcW w:type="dxa" w:w="20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주택시장</w:t>
            </w:r>
          </w:p>
        </w:tc>
        <w:tc>
          <w:tcPr>
            <w:tcW w:type="dxa" w:w="47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청약·전세 수요의 실제 발현</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분산</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 공급</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수요를 나눠 가질 경쟁 물량</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다섯 측정이 수렴하면 강한 근거로 채택됩니다. 어긋나는 경우 — 예를 들어 가구는 증가하는데 청약이 미달인 경우 — </w:t>
      </w:r>
      <w:r>
        <w:rPr>
          <w:rFonts w:ascii="맑은 고딕" w:cs="맑은 고딕" w:eastAsia="맑은 고딕" w:hAnsi="맑은 고딕"/>
          <w:b/>
          <w:bCs/>
          <w:i w:val="false"/>
          <w:iCs w:val="false"/>
          <w:color w:val="1A1A1A"/>
          <w:sz w:val="20"/>
          <w:szCs w:val="20"/>
        </w:rPr>
        <w:t xml:space="preserve">그 어긋남 자체가 원인 규명의 대상</w:t>
      </w:r>
      <w:r>
        <w:rPr>
          <w:rFonts w:ascii="맑은 고딕" w:cs="맑은 고딕" w:eastAsia="맑은 고딕" w:hAnsi="맑은 고딕"/>
          <w:b w:val="false"/>
          <w:bCs w:val="false"/>
          <w:i w:val="false"/>
          <w:iCs w:val="false"/>
          <w:color w:val="1A1A1A"/>
          <w:sz w:val="20"/>
          <w:szCs w:val="20"/>
        </w:rPr>
        <w:t xml:space="preserve">이 됩니다. 어긋남을 덮지 않고 원인을 규명하는 것이 이 프레임워크와 시세 비교의 차이입니다.</w:t>
      </w:r>
    </w:p>
    <w:p>
      <w:pPr>
        <w:pStyle w:val="Heading2"/>
        <w:keepNext/>
        <w:spacing w:after="140" w:before="300"/>
      </w:pPr>
      <w:r>
        <w:rPr>
          <w:rFonts w:ascii="맑은 고딕" w:cs="맑은 고딕" w:eastAsia="맑은 고딕" w:hAnsi="맑은 고딕"/>
          <w:b/>
          <w:bCs/>
          <w:color w:val="1A1A1A"/>
          <w:sz w:val="23"/>
          <w:szCs w:val="23"/>
        </w:rPr>
        <w:t xml:space="preserve">5.4 방법론 엔진 — 여섯 가지 분석 기법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15개 레이어의 원천 데이터는 여섯 가지 방법론을 통과하며 결론으로 가공됩니다. </w:t>
      </w:r>
      <w:r>
        <w:rPr>
          <w:rFonts w:ascii="맑은 고딕" w:cs="맑은 고딕" w:eastAsia="맑은 고딕" w:hAnsi="맑은 고딕"/>
          <w:b/>
          <w:bCs/>
          <w:i w:val="false"/>
          <w:iCs w:val="false"/>
          <w:color w:val="1A1A1A"/>
          <w:sz w:val="20"/>
          <w:szCs w:val="20"/>
        </w:rPr>
        <w:t xml:space="preserve">데이터 목록은 모방할 수 있으나 방법론의 규율은 모방하기 어렵다</w:t>
      </w:r>
      <w:r>
        <w:rPr>
          <w:rFonts w:ascii="맑은 고딕" w:cs="맑은 고딕" w:eastAsia="맑은 고딕" w:hAnsi="맑은 고딕"/>
          <w:b w:val="false"/>
          <w:bCs w:val="false"/>
          <w:i w:val="false"/>
          <w:iCs w:val="false"/>
          <w:color w:val="1A1A1A"/>
          <w:sz w:val="20"/>
          <w:szCs w:val="20"/>
        </w:rPr>
        <w:t xml:space="preserve">는 점에서, 본 절이 제5장의 중심입니다.</w:t>
      </w:r>
    </w:p>
    <w:p>
      <w:pPr>
        <w:pStyle w:val="Heading3"/>
        <w:keepNext/>
        <w:spacing w:after="110" w:before="240"/>
      </w:pPr>
      <w:r>
        <w:rPr>
          <w:rFonts w:ascii="맑은 고딕" w:cs="맑은 고딕" w:eastAsia="맑은 고딕" w:hAnsi="맑은 고딕"/>
          <w:b/>
          <w:bCs/>
          <w:color w:val="5A5A5A"/>
          <w:sz w:val="20"/>
          <w:szCs w:val="20"/>
        </w:rPr>
        <w:t xml:space="preserve">5.4.1 GIS 공간분석 — 행정구역이 아닌 현장 중심 생활권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시·구 단위 통계를 현장 통계처럼 사용하는 것은 분양 분석의 가장 흔한 오류입니다.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현장 좌표를 확정한 후 직선거리권(500m·1km·3km), 도로 네트워크 거리권, 도보·차량·대중교통 시간권을 생성하고, 행정 경계 통계는 격자·집계구 중첩 가중으로 생활권에 재배분합니다.</w:t>
      </w:r>
    </w:p>
    <w:p>
      <w:pPr>
        <w:keepNext/>
        <w:spacing w:after="90" w:before="220"/>
      </w:pPr>
      <w:r>
        <w:rPr>
          <w:rFonts w:ascii="맑은 고딕" w:cs="맑은 고딕" w:eastAsia="맑은 고딕" w:hAnsi="맑은 고딕"/>
          <w:b/>
          <w:bCs/>
          <w:color w:val="1F3864"/>
          <w:sz w:val="18"/>
          <w:szCs w:val="18"/>
        </w:rPr>
        <w:t xml:space="preserve">[표 5-8] 지표 성격별 공간단위 적용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5"/>
        <w:gridCol w:w="4751"/>
        <w:gridCol w:w="3122"/>
      </w:tblGrid>
      <w:tr>
        <w:trPr>
          <w:cantSplit/>
          <w:tblHeader/>
        </w:trPr>
        <w:tc>
          <w:tcPr>
            <w:tcW w:type="dxa" w:w="17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지표</w:t>
            </w:r>
          </w:p>
        </w:tc>
        <w:tc>
          <w:tcPr>
            <w:tcW w:type="dxa" w:w="475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공간단위</w:t>
            </w:r>
          </w:p>
        </w:tc>
        <w:tc>
          <w:tcPr>
            <w:tcW w:type="dxa" w:w="312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근거</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상주인구·가구</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격자·집계구·생활권</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거주는 경계 기반 현상</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고용·배후수요</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차량·대중교통 시간권</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통근은 시간 기반 현상</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유동·상권</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보행·도로 네트워크권</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방문은 동선 기반 현상</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학교·생활편의</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도보·차량 시간권 (실제 출입구 기준)</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이용은 접근 기반 현상</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시장권 + 상품 유사성</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비교는 대체 가능성 기반</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노선·구역·시설 영향권</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영향은 사업 형상 기반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"반경 1km"라도 하천·간선도로로 단절된 생활권과 연결된 생활권은 서로 다른 시장입니다. 공간 정밀성은 학술적 장식이 아니라, </w:t>
      </w:r>
      <w:r>
        <w:rPr>
          <w:rFonts w:ascii="맑은 고딕" w:cs="맑은 고딕" w:eastAsia="맑은 고딕" w:hAnsi="맑은 고딕"/>
          <w:b/>
          <w:bCs/>
          <w:i w:val="false"/>
          <w:iCs w:val="false"/>
          <w:color w:val="1A1A1A"/>
          <w:sz w:val="20"/>
          <w:szCs w:val="20"/>
        </w:rPr>
        <w:t xml:space="preserve">"입지가 좋다"는 주장을 고객이 반박할 수 없는 형태로 만드는 실무 장치</w:t>
      </w:r>
      <w:r>
        <w:rPr>
          <w:rFonts w:ascii="맑은 고딕" w:cs="맑은 고딕" w:eastAsia="맑은 고딕" w:hAnsi="맑은 고딕"/>
          <w:b w:val="false"/>
          <w:bCs w:val="false"/>
          <w:i w:val="false"/>
          <w:iCs w:val="false"/>
          <w:color w:val="1A1A1A"/>
          <w:sz w:val="20"/>
          <w:szCs w:val="20"/>
        </w:rPr>
        <w:t xml:space="preserve">입니다.</w:t>
      </w:r>
    </w:p>
    <w:p>
      <w:pPr>
        <w:pStyle w:val="Heading3"/>
        <w:keepNext/>
        <w:spacing w:after="110" w:before="240"/>
      </w:pPr>
      <w:r>
        <w:rPr>
          <w:rFonts w:ascii="맑은 고딕" w:cs="맑은 고딕" w:eastAsia="맑은 고딕" w:hAnsi="맑은 고딕"/>
          <w:b/>
          <w:bCs/>
          <w:color w:val="5A5A5A"/>
          <w:sz w:val="20"/>
          <w:szCs w:val="20"/>
        </w:rPr>
        <w:t xml:space="preserve">5.4.2 시계열 분석 — 스냅숏이 아닌 추세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현재 값 하나로는 방향을 알 수 없습니다. 인구·고용·거래·소비·공급의 다년 시계열로 다음을 구분합니다.</w:t>
      </w:r>
    </w:p>
    <w:p>
      <w:pPr>
        <w:keepNext/>
        <w:spacing w:after="90" w:before="220"/>
      </w:pPr>
      <w:r>
        <w:rPr>
          <w:rFonts w:ascii="맑은 고딕" w:cs="맑은 고딕" w:eastAsia="맑은 고딕" w:hAnsi="맑은 고딕"/>
          <w:b/>
          <w:bCs/>
          <w:color w:val="1F3864"/>
          <w:sz w:val="18"/>
          <w:szCs w:val="18"/>
        </w:rPr>
        <w:t xml:space="preserve">[표 5-9] 시계열 분석의 네 가지 목적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7228"/>
      </w:tblGrid>
      <w:tr>
        <w:trPr>
          <w:cantSplit/>
          <w:tblHeader/>
        </w:trPr>
        <w:tc>
          <w:tcPr>
            <w:tcW w:type="dxa" w:w="241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목적</w:t>
            </w:r>
          </w:p>
        </w:tc>
        <w:tc>
          <w:tcPr>
            <w:tcW w:type="dxa" w:w="72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41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구조적 변화와 일시 효과의 분리</w:t>
            </w:r>
          </w:p>
        </w:tc>
        <w:tc>
          <w:tcPr>
            <w:tcW w:type="dxa" w:w="72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수년간 지속된 유입 추세와 단발 이벤트(대규모 입주, 일시 개발 특수)를 구분</w:t>
            </w:r>
          </w:p>
        </w:tc>
      </w:tr>
      <w:tr>
        <w:trPr>
          <w:cantSplit/>
          <w:tblHeader w:val="false"/>
        </w:trPr>
        <w:tc>
          <w:tcPr>
            <w:tcW w:type="dxa" w:w="241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선행·후행 관계 반영</w:t>
            </w:r>
          </w:p>
        </w:tc>
        <w:tc>
          <w:tcPr>
            <w:tcW w:type="dxa" w:w="72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전세가·거래량은 매매가에 선행하는 경향, 미분양은 공급 과잉에 후행하는 경향을 해석에 반영</w:t>
            </w:r>
          </w:p>
        </w:tc>
      </w:tr>
      <w:tr>
        <w:trPr>
          <w:cantSplit/>
          <w:tblHeader w:val="false"/>
        </w:trPr>
        <w:tc>
          <w:tcPr>
            <w:tcW w:type="dxa" w:w="241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이벤트 스터디</w:t>
            </w:r>
          </w:p>
        </w:tc>
        <w:tc>
          <w:tcPr>
            <w:tcW w:type="dxa" w:w="72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발표·고시·착공·개통 전후를 처리지역과 비교지역으로 나눠 실제 가격 영향과 선반영 정도를 검증</w:t>
            </w:r>
          </w:p>
        </w:tc>
      </w:tr>
      <w:tr>
        <w:trPr>
          <w:cantSplit/>
          <w:tblHeader w:val="false"/>
        </w:trPr>
        <w:tc>
          <w:tcPr>
            <w:tcW w:type="dxa" w:w="241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정보 누출 방지</w:t>
            </w:r>
          </w:p>
        </w:tc>
        <w:tc>
          <w:tcPr>
            <w:tcW w:type="dxa" w:w="72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시점의 분석·검증에는 그 시점에 존재했던 정보만 사용. 백테스트(5.7)의 전제 조건</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정제 기준도 시점과 무관해야 합니다.</w:t>
      </w:r>
      <w:r>
        <w:rPr>
          <w:rFonts w:ascii="맑은 고딕" w:cs="맑은 고딕" w:eastAsia="맑은 고딕" w:hAnsi="맑은 고딕"/>
          <w:b w:val="false"/>
          <w:bCs w:val="false"/>
          <w:i w:val="false"/>
          <w:iCs w:val="false"/>
          <w:color w:val="1A1A1A"/>
          <w:sz w:val="20"/>
          <w:szCs w:val="20"/>
        </w:rPr>
        <w:t xml:space="preserve"> 실거래에는 취소·중복·이상치·특수관계 의심 거래가 섞여 있어 정제가 필요합니다. 그런데 이상 여부를 </w:t>
      </w:r>
      <w:r>
        <w:rPr>
          <w:rFonts w:ascii="맑은 고딕" w:cs="맑은 고딕" w:eastAsia="맑은 고딕" w:hAnsi="맑은 고딕"/>
          <w:b/>
          <w:bCs/>
          <w:i w:val="false"/>
          <w:iCs w:val="false"/>
          <w:color w:val="1A1A1A"/>
          <w:sz w:val="20"/>
          <w:szCs w:val="20"/>
        </w:rPr>
        <w:t xml:space="preserve">전 기간 중위값</w:t>
      </w:r>
      <w:r>
        <w:rPr>
          <w:rFonts w:ascii="맑은 고딕" w:cs="맑은 고딕" w:eastAsia="맑은 고딕" w:hAnsi="맑은 고딕"/>
          <w:b w:val="false"/>
          <w:bCs w:val="false"/>
          <w:i w:val="false"/>
          <w:iCs w:val="false"/>
          <w:color w:val="1A1A1A"/>
          <w:sz w:val="20"/>
          <w:szCs w:val="20"/>
        </w:rPr>
        <w:t xml:space="preserve"> 기준으로 판정하면 필터의 효과가 시점과 상관됩니다. 상승장에서는 최근의 진짜 특수거래(동시기 시세의 절반)가 전 기간 중위 대비로는 기준을 넘어 살아남아 가장 최근 데이터를 오염시키고, 하락장에서는 정상적인 최근 저가 거래가 통째로 '특수 의심'으로 제거됩니다. 후자가 특히 위험합니다 — </w:t>
      </w:r>
      <w:r>
        <w:rPr>
          <w:rFonts w:ascii="맑은 고딕" w:cs="맑은 고딕" w:eastAsia="맑은 고딕" w:hAnsi="맑은 고딕"/>
          <w:b/>
          <w:bCs/>
          <w:i w:val="false"/>
          <w:iCs w:val="false"/>
          <w:color w:val="1A1A1A"/>
          <w:sz w:val="20"/>
          <w:szCs w:val="20"/>
        </w:rPr>
        <w:t xml:space="preserve">분석이 하락 신호를 담은 근거를 스스로 삭제</w:t>
      </w:r>
      <w:r>
        <w:rPr>
          <w:rFonts w:ascii="맑은 고딕" w:cs="맑은 고딕" w:eastAsia="맑은 고딕" w:hAnsi="맑은 고딕"/>
          <w:b w:val="false"/>
          <w:bCs w:val="false"/>
          <w:i w:val="false"/>
          <w:iCs w:val="false"/>
          <w:color w:val="1A1A1A"/>
          <w:sz w:val="20"/>
          <w:szCs w:val="20"/>
        </w:rPr>
        <w:t xml:space="preserve">하는 것이기 때문입니다.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 시스템은 각 거래를 </w:t>
      </w:r>
      <w:r>
        <w:rPr>
          <w:rFonts w:ascii="맑은 고딕" w:cs="맑은 고딕" w:eastAsia="맑은 고딕" w:hAnsi="맑은 고딕"/>
          <w:b/>
          <w:bCs/>
          <w:i w:val="false"/>
          <w:iCs w:val="false"/>
          <w:color w:val="1A1A1A"/>
          <w:sz w:val="20"/>
          <w:szCs w:val="20"/>
        </w:rPr>
        <w:t xml:space="preserve">같은 시기(±6개월)의 같은 단지·면적대</w:t>
      </w:r>
      <w:r>
        <w:rPr>
          <w:rFonts w:ascii="맑은 고딕" w:cs="맑은 고딕" w:eastAsia="맑은 고딕" w:hAnsi="맑은 고딕"/>
          <w:b w:val="false"/>
          <w:bCs w:val="false"/>
          <w:i w:val="false"/>
          <w:iCs w:val="false"/>
          <w:color w:val="1A1A1A"/>
          <w:sz w:val="20"/>
          <w:szCs w:val="20"/>
        </w:rPr>
        <w:t xml:space="preserve"> 거래와만 비교합니다. 동시기 표본이 얕아 국소 기준이 오히려 불안정한 경우에는 전 기간 기준으로 되돌리되, 되돌린 건수를 리포트에 LIMITATION으로 표기합니다. 정제 룰은 버전으로 고정되며(현행 </w:t>
      </w:r>
      <w:r>
        <w:rPr>
          <w:rFonts w:ascii="굴림체" w:cs="굴림체" w:eastAsia="굴림체" w:hAnsi="굴림체"/>
          <w:b w:val="false"/>
          <w:bCs w:val="false"/>
          <w:i w:val="false"/>
          <w:iCs w:val="false"/>
          <w:color w:val="1A1A1A"/>
          <w:sz w:val="18"/>
          <w:szCs w:val="18"/>
        </w:rPr>
        <w:t xml:space="preserve">clean-1.1</w:t>
      </w:r>
      <w:r>
        <w:rPr>
          <w:rFonts w:ascii="맑은 고딕" w:cs="맑은 고딕" w:eastAsia="맑은 고딕" w:hAnsi="맑은 고딕"/>
          <w:b w:val="false"/>
          <w:bCs w:val="false"/>
          <w:i w:val="false"/>
          <w:iCs w:val="false"/>
          <w:color w:val="1A1A1A"/>
          <w:sz w:val="20"/>
          <w:szCs w:val="20"/>
        </w:rPr>
        <w:t xml:space="preserve">) 리포트와 백테스트 결과에 함께 표기되므로, 룰이 바뀌면 그 사실이 산출물에서 드러납니다.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최근 월은 아직 다 들어오지 않았습니다.</w:t>
      </w:r>
      <w:r>
        <w:rPr>
          <w:rFonts w:ascii="맑은 고딕" w:cs="맑은 고딕" w:eastAsia="맑은 고딕" w:hAnsi="맑은 고딕"/>
          <w:b w:val="false"/>
          <w:bCs w:val="false"/>
          <w:i w:val="false"/>
          <w:iCs w:val="false"/>
          <w:color w:val="1A1A1A"/>
          <w:sz w:val="20"/>
          <w:szCs w:val="20"/>
        </w:rPr>
        <w:t xml:space="preserve"> 부동산 거래신고는 계약일로부터 30일 이내에 하면 되고, 신고분이 공개 자료에 반영되기까지 며칠이 더 걸립니다. 따라서 </w:t>
      </w:r>
      <w:r>
        <w:rPr>
          <w:rFonts w:ascii="맑은 고딕" w:cs="맑은 고딕" w:eastAsia="맑은 고딕" w:hAnsi="맑은 고딕"/>
          <w:b/>
          <w:bCs/>
          <w:i w:val="false"/>
          <w:iCs w:val="false"/>
          <w:color w:val="1A1A1A"/>
          <w:sz w:val="20"/>
          <w:szCs w:val="20"/>
        </w:rPr>
        <w:t xml:space="preserve">수집 시점의 최근 1~2개월 거래는 항상 과소집계 상태</w:t>
      </w:r>
      <w:r>
        <w:rPr>
          <w:rFonts w:ascii="맑은 고딕" w:cs="맑은 고딕" w:eastAsia="맑은 고딕" w:hAnsi="맑은 고딕"/>
          <w:b w:val="false"/>
          <w:bCs w:val="false"/>
          <w:i w:val="false"/>
          <w:iCs w:val="false"/>
          <w:color w:val="1A1A1A"/>
          <w:sz w:val="20"/>
          <w:szCs w:val="20"/>
        </w:rPr>
        <w:t xml:space="preserve">입니다. 이를 무시하면 두 가지가 조용히 어긋납니다. 첫째, 월별 집계의 마지막 점은 표본이 얇아 흔들리는데 추세 회귀에서 끝점의 영향력이 가장 크므로, 미완결 월 하나가 추세의 방향을 바꿀 수 있습니다. 둘째, 거래 회전율은 분자(거래건수)만 덜 차고 분모(기간)는 그대로여서 체계적으로 낮게 산출되며, 임계값 근처에서 '환금성 취약' 오판정을 만듭니다.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리포트는 법정 신고기한이라는 </w:t>
      </w:r>
      <w:r>
        <w:rPr>
          <w:rFonts w:ascii="맑은 고딕" w:cs="맑은 고딕" w:eastAsia="맑은 고딕" w:hAnsi="맑은 고딕"/>
          <w:b/>
          <w:bCs/>
          <w:i w:val="false"/>
          <w:iCs w:val="false"/>
          <w:color w:val="1A1A1A"/>
          <w:sz w:val="20"/>
          <w:szCs w:val="20"/>
        </w:rPr>
        <w:t xml:space="preserve">결정적 규칙</w:t>
      </w:r>
      <w:r>
        <w:rPr>
          <w:rFonts w:ascii="맑은 고딕" w:cs="맑은 고딕" w:eastAsia="맑은 고딕" w:hAnsi="맑은 고딕"/>
          <w:b w:val="false"/>
          <w:bCs w:val="false"/>
          <w:i w:val="false"/>
          <w:iCs w:val="false"/>
          <w:color w:val="1A1A1A"/>
          <w:sz w:val="20"/>
          <w:szCs w:val="20"/>
        </w:rPr>
        <w:t xml:space="preserve">으로 월별 완결 여부를 판정하고, 미완결 월을 추세·회전율 산출에서 제외한 뒤 </w:t>
      </w:r>
      <w:r>
        <w:rPr>
          <w:rFonts w:ascii="맑은 고딕" w:cs="맑은 고딕" w:eastAsia="맑은 고딕" w:hAnsi="맑은 고딕"/>
          <w:b/>
          <w:bCs/>
          <w:i w:val="false"/>
          <w:iCs w:val="false"/>
          <w:color w:val="1A1A1A"/>
          <w:sz w:val="20"/>
          <w:szCs w:val="20"/>
        </w:rPr>
        <w:t xml:space="preserve">제외한 월과 건수를 리포트 3-2절에 그대로 표기</w:t>
      </w:r>
      <w:r>
        <w:rPr>
          <w:rFonts w:ascii="맑은 고딕" w:cs="맑은 고딕" w:eastAsia="맑은 고딕" w:hAnsi="맑은 고딕"/>
          <w:b w:val="false"/>
          <w:bCs w:val="false"/>
          <w:i w:val="false"/>
          <w:iCs w:val="false"/>
          <w:color w:val="1A1A1A"/>
          <w:sz w:val="20"/>
          <w:szCs w:val="20"/>
        </w:rPr>
        <w:t xml:space="preserve">합니다. 거래량이 적다는 관찰만으로 월을 빼지는 않습니다 — 그렇게 하면 실제 시장 냉각을 데이터 결함으로 오인해 하락 신호를 지워 버리기 때문입니다. 거래량 급감은 무작위 변동 범위(포아송)를 넘을 때에 한해 별도 표시로만 남깁니다.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규율이 백테스트에도 적용됩니다. 과거 시점을 재현할 때 "그때 있었던 정보"라며 쓰는 데이터에는 실제로는 아직 신고되지 않았을 거래가 섞여 있습니다 — 지금 돌아보면 다 들어와 있기 때문입니다. 이를 그대로 두면 검증 성적이 실시간 운영보다 좋게 나오므로, 백테스트도 동일한 지연을 적용해 잘라 냅니다. </w:t>
      </w:r>
      <w:r>
        <w:rPr>
          <w:rFonts w:ascii="맑은 고딕" w:cs="맑은 고딕" w:eastAsia="맑은 고딕" w:hAnsi="맑은 고딕"/>
          <w:b/>
          <w:bCs/>
          <w:i w:val="false"/>
          <w:iCs w:val="false"/>
          <w:color w:val="1A1A1A"/>
          <w:sz w:val="20"/>
          <w:szCs w:val="20"/>
        </w:rPr>
        <w:t xml:space="preserve">검증이 운영보다 유리한 조건에서 이뤄지면 검증의 의미가 없습니다.</w:t>
      </w:r>
    </w:p>
    <w:p>
      <w:pPr>
        <w:pStyle w:val="Heading3"/>
        <w:keepNext/>
        <w:spacing w:after="110" w:before="240"/>
      </w:pPr>
      <w:r>
        <w:rPr>
          <w:rFonts w:ascii="맑은 고딕" w:cs="맑은 고딕" w:eastAsia="맑은 고딕" w:hAnsi="맑은 고딕"/>
          <w:b/>
          <w:bCs/>
          <w:color w:val="5A5A5A"/>
          <w:sz w:val="20"/>
          <w:szCs w:val="20"/>
        </w:rPr>
        <w:t xml:space="preserve">5.4.3 교차검증 — 세 방향의 대조</w:t>
      </w:r>
    </w:p>
    <w:p>
      <w:pPr>
        <w:keepNext/>
        <w:spacing w:after="90" w:before="220"/>
      </w:pPr>
      <w:r>
        <w:rPr>
          <w:rFonts w:ascii="맑은 고딕" w:cs="맑은 고딕" w:eastAsia="맑은 고딕" w:hAnsi="맑은 고딕"/>
          <w:b/>
          <w:bCs/>
          <w:color w:val="1F3864"/>
          <w:sz w:val="18"/>
          <w:szCs w:val="18"/>
        </w:rPr>
        <w:t xml:space="preserve">[표 5-10] 교차검증의 세 층위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436"/>
        <w:gridCol w:w="605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층위</w:t>
            </w:r>
          </w:p>
        </w:tc>
        <w:tc>
          <w:tcPr>
            <w:tcW w:type="dxa" w:w="24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방법</w:t>
            </w:r>
          </w:p>
        </w:tc>
        <w:tc>
          <w:tcPr>
            <w:tcW w:type="dxa" w:w="60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간 교차</w:t>
            </w:r>
          </w:p>
        </w:tc>
        <w:tc>
          <w:tcPr>
            <w:tcW w:type="dxa" w:w="24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현상을 다른 지표로 확인</w:t>
            </w:r>
          </w:p>
        </w:tc>
        <w:tc>
          <w:tcPr>
            <w:tcW w:type="dxa" w:w="60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상승 주장을 거래량·취소거래율과 대조하여 "거래 없는 호가 상승"을 배제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레이어 간 교차</w:t>
            </w:r>
          </w:p>
        </w:tc>
        <w:tc>
          <w:tcPr>
            <w:tcW w:type="dxa" w:w="24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 레이어의 결론을 독립 레이어로 확인</w:t>
            </w:r>
          </w:p>
        </w:tc>
        <w:tc>
          <w:tcPr>
            <w:tcW w:type="dxa" w:w="60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"직주근접 수요"(L4)를 실제 통근 O/D(L7)와 청약 신청 지역 분포(L12)로 검증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유사지역 비교</w:t>
            </w:r>
          </w:p>
        </w:tc>
        <w:tc>
          <w:tcPr>
            <w:tcW w:type="dxa" w:w="24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조건이 유사한 지역과 대조</w:t>
            </w:r>
          </w:p>
        </w:tc>
        <w:tc>
          <w:tcPr>
            <w:tcW w:type="dxa" w:w="60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교통·세대수·준공연차·공급환경이 유사한 지역과 비교하여 현장 고유 효과와 시장 전반 효과를 분리</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비교단지·비교지역의 선정 기준은 재현 가능하도록 문서화되며, 포함·제외 사유가 근거원장(5.9)에 기록됩니다.</w:t>
      </w:r>
    </w:p>
    <w:p>
      <w:pPr>
        <w:pStyle w:val="Heading3"/>
        <w:keepNext/>
        <w:spacing w:after="110" w:before="240"/>
      </w:pPr>
      <w:r>
        <w:rPr>
          <w:rFonts w:ascii="맑은 고딕" w:cs="맑은 고딕" w:eastAsia="맑은 고딕" w:hAnsi="맑은 고딕"/>
          <w:b/>
          <w:bCs/>
          <w:color w:val="5A5A5A"/>
          <w:sz w:val="20"/>
          <w:szCs w:val="20"/>
        </w:rPr>
        <w:t xml:space="preserve">5.4.4 반대근거 분석 — 반증을 먼저 탐색한다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핵심 결론에 대해 </w:t>
      </w:r>
      <w:r>
        <w:rPr>
          <w:rFonts w:ascii="맑은 고딕" w:cs="맑은 고딕" w:eastAsia="맑은 고딕" w:hAnsi="맑은 고딕"/>
          <w:b/>
          <w:bCs/>
          <w:i w:val="false"/>
          <w:iCs w:val="false"/>
          <w:color w:val="1A1A1A"/>
          <w:sz w:val="20"/>
          <w:szCs w:val="20"/>
        </w:rPr>
        <w:t xml:space="preserve">"이 결론을 무너뜨릴 수 있는 데이터는 무엇인가"</w:t>
      </w:r>
      <w:r>
        <w:rPr>
          <w:rFonts w:ascii="맑은 고딕" w:cs="맑은 고딕" w:eastAsia="맑은 고딕" w:hAnsi="맑은 고딕"/>
          <w:b w:val="false"/>
          <w:bCs w:val="false"/>
          <w:i w:val="false"/>
          <w:iCs w:val="false"/>
          <w:color w:val="1A1A1A"/>
          <w:sz w:val="20"/>
          <w:szCs w:val="20"/>
        </w:rPr>
        <w:t xml:space="preserve">를 명시적으로 탐색합니다.</w:t>
      </w:r>
    </w:p>
    <w:p>
      <w:pPr>
        <w:keepNext/>
        <w:spacing w:after="90" w:before="220"/>
      </w:pPr>
      <w:r>
        <w:rPr>
          <w:rFonts w:ascii="맑은 고딕" w:cs="맑은 고딕" w:eastAsia="맑은 고딕" w:hAnsi="맑은 고딕"/>
          <w:b/>
          <w:bCs/>
          <w:color w:val="1F3864"/>
          <w:sz w:val="18"/>
          <w:szCs w:val="18"/>
        </w:rPr>
        <w:t xml:space="preserve">[표 5-11] 반대근거 탐색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결론 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탐색하는 반대근거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상승 사례</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조건에서 가격이 움직이지 않은 반대사례와 그 원인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개발호재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소음·혼잡·추가 공급·지연·민원·환경 위험 등 부정효과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논리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수요가 경쟁 현장으로 이동할 조건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희소성</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미반영된 잠재 공급(정비사업, 가용지, 인접 시장권)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탐색된 반대근거는 폐기되지 않고 근거카드의 "반대" 항목에 기록되어(5.9), </w:t>
      </w:r>
      <w:r>
        <w:rPr>
          <w:rFonts w:ascii="맑은 고딕" w:cs="맑은 고딕" w:eastAsia="맑은 고딕" w:hAnsi="맑은 고딕"/>
          <w:b/>
          <w:bCs/>
          <w:i w:val="false"/>
          <w:iCs w:val="false"/>
          <w:color w:val="1A1A1A"/>
          <w:sz w:val="20"/>
          <w:szCs w:val="20"/>
        </w:rPr>
        <w:t xml:space="preserve">상담 단계의 거절 대응 논리(제6장)로 재사용</w:t>
      </w:r>
      <w:r>
        <w:rPr>
          <w:rFonts w:ascii="맑은 고딕" w:cs="맑은 고딕" w:eastAsia="맑은 고딕" w:hAnsi="맑은 고딕"/>
          <w:b w:val="false"/>
          <w:bCs w:val="false"/>
          <w:i w:val="false"/>
          <w:iCs w:val="false"/>
          <w:color w:val="1A1A1A"/>
          <w:sz w:val="20"/>
          <w:szCs w:val="20"/>
        </w:rPr>
        <w:t xml:space="preserve">됩니다. 고객이 제기할 반론을 분석 단계에서 먼저 통과시키는 구조입니다.</w:t>
      </w:r>
    </w:p>
    <w:p>
      <w:pPr>
        <w:pStyle w:val="Heading3"/>
        <w:keepNext/>
        <w:spacing w:after="110" w:before="240"/>
      </w:pPr>
      <w:r>
        <w:rPr>
          <w:rFonts w:ascii="맑은 고딕" w:cs="맑은 고딕" w:eastAsia="맑은 고딕" w:hAnsi="맑은 고딕"/>
          <w:b/>
          <w:bCs/>
          <w:color w:val="5A5A5A"/>
          <w:sz w:val="20"/>
          <w:szCs w:val="20"/>
        </w:rPr>
        <w:t xml:space="preserve">5.4.5 신뢰도 평가 — 모든 판단에 확신 수준을 표시한다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데이터 수준.</w:t>
      </w:r>
      <w:r>
        <w:rPr>
          <w:rFonts w:ascii="맑은 고딕" w:cs="맑은 고딕" w:eastAsia="맑은 고딕" w:hAnsi="맑은 고딕"/>
          <w:b w:val="false"/>
          <w:bCs w:val="false"/>
          <w:i w:val="false"/>
          <w:iCs w:val="false"/>
          <w:color w:val="1A1A1A"/>
          <w:sz w:val="20"/>
          <w:szCs w:val="20"/>
        </w:rPr>
        <w:t xml:space="preserve"> 모든 레이어·지표는 다섯 축으로 평가되어 A~D 등급을 받습니다(상세는 부록 A).</w:t>
      </w:r>
    </w:p>
    <w:p>
      <w:pPr>
        <w:keepNext/>
        <w:spacing w:after="90" w:before="220"/>
      </w:pPr>
      <w:r>
        <w:rPr>
          <w:rFonts w:ascii="맑은 고딕" w:cs="맑은 고딕" w:eastAsia="맑은 고딕" w:hAnsi="맑은 고딕"/>
          <w:b/>
          <w:bCs/>
          <w:color w:val="1F3864"/>
          <w:sz w:val="18"/>
          <w:szCs w:val="18"/>
        </w:rPr>
        <w:t xml:space="preserve">[표 5-12] 데이터 적합성 평가 5축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9"/>
        <w:gridCol w:w="1150"/>
        <w:gridCol w:w="6929"/>
      </w:tblGrid>
      <w:tr>
        <w:trPr>
          <w:cantSplit/>
          <w:tblHeader/>
        </w:trPr>
        <w:tc>
          <w:tcPr>
            <w:tcW w:type="dxa" w:w="15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평가축</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배점</w:t>
            </w:r>
          </w:p>
        </w:tc>
        <w:tc>
          <w:tcPr>
            <w:tcW w:type="dxa" w:w="69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적합성</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25</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현장·생활권·격자·시간권 수준으로 집계 가능한가</w:t>
            </w:r>
          </w:p>
        </w:tc>
      </w:tr>
      <w:tr>
        <w:trPr>
          <w:cantSplit/>
          <w:tblHeader w:val="false"/>
        </w:trPr>
        <w:tc>
          <w:tcPr>
            <w:tcW w:type="dxa" w:w="15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 적합성</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25</w:t>
            </w:r>
          </w:p>
        </w:tc>
        <w:tc>
          <w:tcPr>
            <w:tcW w:type="dxa" w:w="69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기준일과 시계열 빈도·지연이 적합한가</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정의·품질</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20</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측정 대상·표본·정제·결측·통계 개편이 명확한가</w:t>
            </w:r>
          </w:p>
        </w:tc>
      </w:tr>
      <w:tr>
        <w:trPr>
          <w:cantSplit/>
          <w:tblHeader w:val="false"/>
        </w:trPr>
        <w:tc>
          <w:tcPr>
            <w:tcW w:type="dxa" w:w="15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재현성·추적성</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69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원문·버전·추출·계산을 다시 확인할 수 있는가</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권한·지속성</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수집·가공·저장·공개·재배포가 허용되고 지속 가능한가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C등급 데이터는 탐색·가설 생성용으로만 사용하며, D등급은 분석·광고 사용을 금지합니다.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판단 수준.</w:t>
      </w:r>
      <w:r>
        <w:rPr>
          <w:rFonts w:ascii="맑은 고딕" w:cs="맑은 고딕" w:eastAsia="맑은 고딕" w:hAnsi="맑은 고딕"/>
          <w:b w:val="false"/>
          <w:bCs w:val="false"/>
          <w:i w:val="false"/>
          <w:iCs w:val="false"/>
          <w:color w:val="1A1A1A"/>
          <w:sz w:val="20"/>
          <w:szCs w:val="20"/>
        </w:rPr>
        <w:t xml:space="preserve"> 카테고리별 결론에는 네 가지 속성이 함께 표시됩니다.</w:t>
      </w:r>
    </w:p>
    <w:p>
      <w:pPr>
        <w:keepNext/>
        <w:spacing w:after="90" w:before="220"/>
      </w:pPr>
      <w:r>
        <w:rPr>
          <w:rFonts w:ascii="맑은 고딕" w:cs="맑은 고딕" w:eastAsia="맑은 고딕" w:hAnsi="맑은 고딕"/>
          <w:b/>
          <w:bCs/>
          <w:color w:val="1F3864"/>
          <w:sz w:val="18"/>
          <w:szCs w:val="18"/>
        </w:rPr>
        <w:t xml:space="preserve">[표 5-13] 판단의 4속성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속성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현장가치에 긍정적인가, 부정적인가, 중립인가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강도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효과의 크기는 어느 정도로 추정되는가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신뢰도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데이터의 등급과 레이어 간 수렴 정도는 어떠한가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직전 분석 대비 판단이 바뀌었는가, 바뀌었다면 무엇 때문인가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신뢰도가 기준에 미달하면 수치 제시를 포기하고 정성 등급으로 전환하거나 판단을 유보합니다. </w:t>
      </w:r>
      <w:r>
        <w:rPr>
          <w:rFonts w:ascii="맑은 고딕" w:cs="맑은 고딕" w:eastAsia="맑은 고딕" w:hAnsi="맑은 고딕"/>
          <w:b/>
          <w:bCs/>
          <w:i w:val="false"/>
          <w:iCs w:val="false"/>
          <w:color w:val="1A1A1A"/>
          <w:sz w:val="20"/>
          <w:szCs w:val="20"/>
        </w:rPr>
        <w:t xml:space="preserve">낮은 확신을 높은 확신처럼 표현하지 않는 것</w:t>
      </w:r>
      <w:r>
        <w:rPr>
          <w:rFonts w:ascii="맑은 고딕" w:cs="맑은 고딕" w:eastAsia="맑은 고딕" w:hAnsi="맑은 고딕"/>
          <w:b w:val="false"/>
          <w:bCs w:val="false"/>
          <w:i w:val="false"/>
          <w:iCs w:val="false"/>
          <w:color w:val="1A1A1A"/>
          <w:sz w:val="20"/>
          <w:szCs w:val="20"/>
        </w:rPr>
        <w:t xml:space="preserve">이 본 방법론의 최종 규율입니다.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모르는 것은 0이 아닙니다.</w:t>
      </w:r>
      <w:r>
        <w:rPr>
          <w:rFonts w:ascii="맑은 고딕" w:cs="맑은 고딕" w:eastAsia="맑은 고딕" w:hAnsi="맑은 고딕"/>
          <w:b w:val="false"/>
          <w:bCs w:val="false"/>
          <w:i w:val="false"/>
          <w:iCs w:val="false"/>
          <w:color w:val="1A1A1A"/>
          <w:sz w:val="20"/>
          <w:szCs w:val="20"/>
        </w:rPr>
        <w:t xml:space="preserve"> 표본이 기준에 미달하면 해당 지표를 '미산출'로 표기하며, 0이나 공란으로 대체하지 않습니다. 예를 들어 소득 표본이 부족해 구매 가능 가구 비율을 낼 수 없을 때 "0%"로 적으면 "수요가 전혀 없다"는 전혀 다른 주장이 되고, 그 값이 수요 판정의 점수로 들어가면 판정 자체가 오염됩니다. 미산출 지표는 판정 계산에서 제외되고 그 사유가 함께 기록됩니다.</w:t>
      </w:r>
    </w:p>
    <w:p>
      <w:pPr>
        <w:pStyle w:val="Heading3"/>
        <w:keepNext/>
        <w:spacing w:after="110" w:before="240"/>
      </w:pPr>
      <w:r>
        <w:rPr>
          <w:rFonts w:ascii="맑은 고딕" w:cs="맑은 고딕" w:eastAsia="맑은 고딕" w:hAnsi="맑은 고딕"/>
          <w:b/>
          <w:bCs/>
          <w:color w:val="5A5A5A"/>
          <w:sz w:val="20"/>
          <w:szCs w:val="20"/>
        </w:rPr>
        <w:t xml:space="preserve">5.4.6 조정계수의 교정 — 계수도 검증 대상이다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품질조정 가격 밴드(5.5)는 비교 거래를 연식·층·거래시점 차이만큼 보정해 표준화합니다. 그 보정률이 문헌·경험 기반의 초기값에 머물면, </w:t>
      </w:r>
      <w:r>
        <w:rPr>
          <w:rFonts w:ascii="맑은 고딕" w:cs="맑은 고딕" w:eastAsia="맑은 고딕" w:hAnsi="맑은 고딕"/>
          <w:b/>
          <w:bCs/>
          <w:i w:val="false"/>
          <w:iCs w:val="false"/>
          <w:color w:val="1A1A1A"/>
          <w:sz w:val="20"/>
          <w:szCs w:val="20"/>
        </w:rPr>
        <w:t xml:space="preserve">밴드 전체가 검증되지 않은 계수 위에 서 있는 셈</w:t>
      </w:r>
      <w:r>
        <w:rPr>
          <w:rFonts w:ascii="맑은 고딕" w:cs="맑은 고딕" w:eastAsia="맑은 고딕" w:hAnsi="맑은 고딕"/>
          <w:b w:val="false"/>
          <w:bCs w:val="false"/>
          <w:i w:val="false"/>
          <w:iCs w:val="false"/>
          <w:color w:val="1A1A1A"/>
          <w:sz w:val="20"/>
          <w:szCs w:val="20"/>
        </w:rPr>
        <w:t xml:space="preserve">입니다. 다른 모든 수치를 검증하면서 계수만 예외로 두는 것은 일관성이 없습니다.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계수를 실거래로 추정하고, 추정치가 검증을 통과할 때만 교체합니다.</w:t>
      </w:r>
    </w:p>
    <w:p>
      <w:pPr>
        <w:keepNext/>
        <w:spacing w:after="90" w:before="220"/>
      </w:pPr>
      <w:r>
        <w:rPr>
          <w:rFonts w:ascii="맑은 고딕" w:cs="맑은 고딕" w:eastAsia="맑은 고딕" w:hAnsi="맑은 고딕"/>
          <w:b/>
          <w:bCs/>
          <w:color w:val="1F3864"/>
          <w:sz w:val="18"/>
          <w:szCs w:val="18"/>
        </w:rPr>
        <w:t xml:space="preserve">[표 5-13-1] 조정계수 교정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추정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㎡당 가격의 로그값을 연식·층 구간·면적·거리·브랜드·분양권 여부·시간에 회귀합니다. 연식과 시간 추세를 동시에 넣어 '구축 할인'과 '시장 등락'을 분리합니다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게이트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계수마다 표본 수·통계적 유의성·부호·크기 상한을 검사합니다. 하나라도 통과하지 못하면 그 계수는 </w:t>
            </w:r>
            <w:r>
              <w:rPr>
                <w:rFonts w:ascii="맑은 고딕" w:cs="맑은 고딕" w:eastAsia="맑은 고딕" w:hAnsi="맑은 고딕"/>
                <w:b/>
                <w:bCs/>
                <w:color w:val="1A1A1A"/>
                <w:sz w:val="18"/>
                <w:szCs w:val="18"/>
              </w:rPr>
              <w:t xml:space="preserve">기존 값을 유지</w:t>
            </w:r>
            <w:r>
              <w:rPr>
                <w:rFonts w:ascii="맑은 고딕" w:cs="맑은 고딕" w:eastAsia="맑은 고딕" w:hAnsi="맑은 고딕"/>
                <w:color w:val="1A1A1A"/>
                <w:sz w:val="18"/>
                <w:szCs w:val="18"/>
              </w:rPr>
              <w:t xml:space="preserve">하고 사유를 기록합니다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홀드아웃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앞 70% 기간으로만 계수를 재추정해 뒤 30% 기간에 적용하고, 조정 후 잔차 분산이 실제로 줄어드는지 확인합니다. 줄지 않으면 기각합니다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표기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교체 여부와 무관하게, 리포트의 모델 카드에 현재 계수의 출처가 '초기값(미교정)'인지 '실데이터 교정값'인지 명시됩니다</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적중률을 채택 기준으로 쓰지 않는 이유.</w:t>
      </w:r>
      <w:r>
        <w:rPr>
          <w:rFonts w:ascii="맑은 고딕" w:cs="맑은 고딕" w:eastAsia="맑은 고딕" w:hAnsi="맑은 고딕"/>
          <w:b w:val="false"/>
          <w:bCs w:val="false"/>
          <w:i w:val="false"/>
          <w:iCs w:val="false"/>
          <w:color w:val="1A1A1A"/>
          <w:sz w:val="20"/>
          <w:szCs w:val="20"/>
        </w:rPr>
        <w:t xml:space="preserve"> 적중률(부록 E.2)은 구간의 '폭'이 제대로 보정됐는지를 재는 지표입니다. 계수를 바꾸면 밴드와 실현값이 같은 방향으로 함께 움직이므로 적중률은 거의 변하지 않습니다 — 계수 정확도에 둔감한 지표입니다. 따라서 채택은 잔차 분산으로 판단하고, 적중률은 크게 나빠지지 않았는지 확인하는 안전장치로만 사용합니다.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계수는 자동으로 좋아지지 않습니다. </w:t>
      </w:r>
      <w:r>
        <w:rPr>
          <w:rFonts w:ascii="맑은 고딕" w:cs="맑은 고딕" w:eastAsia="맑은 고딕" w:hAnsi="맑은 고딕"/>
          <w:b/>
          <w:bCs/>
          <w:i w:val="false"/>
          <w:iCs w:val="false"/>
          <w:color w:val="1A1A1A"/>
          <w:sz w:val="20"/>
          <w:szCs w:val="20"/>
        </w:rPr>
        <w:t xml:space="preserve">교정이 기각되면 기존 예시값이 유지되고, 그 사실이 리포트에 남습니다.</w:t>
      </w:r>
      <w:r>
        <w:rPr>
          <w:rFonts w:ascii="맑은 고딕" w:cs="맑은 고딕" w:eastAsia="맑은 고딕" w:hAnsi="맑은 고딕"/>
          <w:b w:val="false"/>
          <w:bCs w:val="false"/>
          <w:i w:val="false"/>
          <w:iCs w:val="false"/>
          <w:color w:val="1A1A1A"/>
          <w:sz w:val="20"/>
          <w:szCs w:val="20"/>
        </w:rPr>
        <w:t xml:space="preserve"> 이 절차의 목적은 계수를 바꾸는 것이 아니라, 계수가 어떤 상태인지 발주처가 알 수 있게 하는 것입니다.</w:t>
      </w:r>
    </w:p>
    <w:p>
      <w:pPr>
        <w:pStyle w:val="Heading2"/>
        <w:keepNext/>
        <w:spacing w:after="140" w:before="300"/>
      </w:pPr>
      <w:r>
        <w:rPr>
          <w:rFonts w:ascii="맑은 고딕" w:cs="맑은 고딕" w:eastAsia="맑은 고딕" w:hAnsi="맑은 고딕"/>
          <w:b/>
          <w:bCs/>
          <w:color w:val="1A1A1A"/>
          <w:sz w:val="23"/>
          <w:szCs w:val="23"/>
        </w:rPr>
        <w:t xml:space="preserve">5.5 가격·시장 검증 모듈</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프레임워크의 15개 레이어가 수요·공급·흐름을 검증한 위에서, 가격 질문에 답하는 전용 모듈이 작동합니다.</w:t>
      </w:r>
    </w:p>
    <w:p>
      <w:pPr>
        <w:keepNext/>
        <w:spacing w:after="90" w:before="220"/>
      </w:pPr>
      <w:r>
        <w:rPr>
          <w:rFonts w:ascii="맑은 고딕" w:cs="맑은 고딕" w:eastAsia="맑은 고딕" w:hAnsi="맑은 고딕"/>
          <w:b/>
          <w:bCs/>
          <w:color w:val="1F3864"/>
          <w:sz w:val="18"/>
          <w:szCs w:val="18"/>
        </w:rPr>
        <w:t xml:space="preserve">[표 5-14] 가격 검증 4요소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821"/>
        <w:gridCol w:w="466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요소</w:t>
            </w:r>
          </w:p>
        </w:tc>
        <w:tc>
          <w:tcPr>
            <w:tcW w:type="dxa" w:w="382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 내용</w:t>
            </w:r>
          </w:p>
        </w:tc>
        <w:tc>
          <w:tcPr>
            <w:tcW w:type="dxa" w:w="466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w:t>
            </w:r>
          </w:p>
        </w:tc>
        <w:tc>
          <w:tcPr>
            <w:tcW w:type="dxa" w:w="38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 옵션 + 발코니 확장 + 취득 부대비용(구간 누진 세율)</w:t>
            </w:r>
          </w:p>
        </w:tc>
        <w:tc>
          <w:tcPr>
            <w:tcW w:type="dxa" w:w="46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고객이 실제로 계산하는 금액. </w:t>
            </w:r>
            <w:r>
              <w:rPr>
                <w:rFonts w:ascii="맑은 고딕" w:cs="맑은 고딕" w:eastAsia="맑은 고딕" w:hAnsi="맑은 고딕"/>
                <w:b/>
                <w:bCs/>
                <w:color w:val="1A1A1A"/>
                <w:sz w:val="18"/>
                <w:szCs w:val="18"/>
              </w:rPr>
              <w:t xml:space="preserve">비교 거래도 같은 규칙으로 환산</w:t>
            </w:r>
            <w:r>
              <w:rPr>
                <w:rFonts w:ascii="맑은 고딕" w:cs="맑은 고딕" w:eastAsia="맑은 고딕" w:hAnsi="맑은 고딕"/>
                <w:color w:val="1A1A1A"/>
                <w:sz w:val="18"/>
                <w:szCs w:val="18"/>
              </w:rPr>
              <w:t xml:space="preserve">해야 비교가 성립함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현재가격</w:t>
            </w:r>
          </w:p>
        </w:tc>
        <w:tc>
          <w:tcPr>
            <w:tcW w:type="dxa" w:w="382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비교단지와의 연식·입지·규모·브랜드·평형·층·거래시점 차이를 조정</w:t>
            </w:r>
          </w:p>
        </w:tc>
        <w:tc>
          <w:tcPr>
            <w:tcW w:type="dxa" w:w="466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가격"이 아니라 </w:t>
            </w:r>
            <w:r>
              <w:rPr>
                <w:rFonts w:ascii="맑은 고딕" w:cs="맑은 고딕" w:eastAsia="맑은 고딕" w:hAnsi="맑은 고딕"/>
                <w:b/>
                <w:bCs/>
                <w:color w:val="1A1A1A"/>
                <w:sz w:val="18"/>
                <w:szCs w:val="18"/>
              </w:rPr>
              <w:t xml:space="preserve">"같은 조건"</w:t>
            </w:r>
            <w:r>
              <w:rPr>
                <w:rFonts w:ascii="맑은 고딕" w:cs="맑은 고딕" w:eastAsia="맑은 고딕" w:hAnsi="맑은 고딕"/>
                <w:color w:val="1A1A1A"/>
                <w:sz w:val="18"/>
                <w:szCs w:val="18"/>
              </w:rPr>
              <w:t xml:space="preserve">으로 비교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대비 위치</w:t>
            </w:r>
          </w:p>
        </w:tc>
        <w:tc>
          <w:tcPr>
            <w:tcW w:type="dxa" w:w="38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지수 대비 해당 생활권·단지의 초과·미달 성과</w:t>
            </w:r>
          </w:p>
        </w:tc>
        <w:tc>
          <w:tcPr>
            <w:tcW w:type="dxa" w:w="46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가격이 시장 흐름 안에서 어느 구간에 있는지 판정</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w:t>
            </w:r>
          </w:p>
        </w:tc>
        <w:tc>
          <w:tcPr>
            <w:tcW w:type="dxa" w:w="382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거래량·회전율·매도 소요기간·전세 유동성·가격 분산</w:t>
            </w:r>
          </w:p>
        </w:tc>
        <w:tc>
          <w:tcPr>
            <w:tcW w:type="dxa" w:w="466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투자 수요의 핵심 질문에 대한 답. 유리하지 않은 결과도 기록</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비교의 양쪽에 같은 기준을 적용합니다.</w:t>
      </w:r>
      <w:r>
        <w:rPr>
          <w:rFonts w:ascii="맑은 고딕" w:cs="맑은 고딕" w:eastAsia="맑은 고딕" w:hAnsi="맑은 고딕"/>
          <w:b w:val="false"/>
          <w:bCs w:val="false"/>
          <w:i w:val="false"/>
          <w:iCs w:val="false"/>
          <w:color w:val="1A1A1A"/>
          <w:sz w:val="20"/>
          <w:szCs w:val="20"/>
        </w:rPr>
        <w:t xml:space="preserve"> 총취득원가로 비교한다는 원칙은 현장에만 적용하면 오히려 왜곡을 만듭니다. 비교단지를 사는 사람도 취득 부대비용을 부담하는데, 현장에만 세금을 얹고 비교 거래는 신고가 그대로 쓰면 현장이 부대비용만큼 비싸 보이고 판정 ①이 '밴드 상단(가격 저항 위험)' 쪽으로 계통적으로 기웁니다. 당사 시스템은 </w:t>
      </w:r>
      <w:r>
        <w:rPr>
          <w:rFonts w:ascii="맑은 고딕" w:cs="맑은 고딕" w:eastAsia="맑은 고딕" w:hAnsi="맑은 고딕"/>
          <w:b/>
          <w:bCs/>
          <w:i w:val="false"/>
          <w:iCs w:val="false"/>
          <w:color w:val="1A1A1A"/>
          <w:sz w:val="20"/>
          <w:szCs w:val="20"/>
        </w:rPr>
        <w:t xml:space="preserve">현장과 비교 거래 모두를 같은 함수로</w:t>
      </w:r>
      <w:r>
        <w:rPr>
          <w:rFonts w:ascii="맑은 고딕" w:cs="맑은 고딕" w:eastAsia="맑은 고딕" w:hAnsi="맑은 고딕"/>
          <w:b w:val="false"/>
          <w:bCs w:val="false"/>
          <w:i w:val="false"/>
          <w:iCs w:val="false"/>
          <w:color w:val="1A1A1A"/>
          <w:sz w:val="20"/>
          <w:szCs w:val="20"/>
        </w:rPr>
        <w:t xml:space="preserve"> 총취득원가로 환산합니다.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세율도 정액이 아닙니다. 주택 유상거래 취득세는 가액 구간별 누진이므로(6억 이하 1%, 6~9억 누진, 9억 초과 3%), 6억 이하 주택에 3.3%를 일괄 적용하면 2%p 넘게 과대계상됩니다. 여기에 지방교육세(취득세율의 10%)와 전용 85㎡ 초과 시 농어촌특별세(0.2%)를 반영하며, </w:t>
      </w:r>
      <w:r>
        <w:rPr>
          <w:rFonts w:ascii="맑은 고딕" w:cs="맑은 고딕" w:eastAsia="맑은 고딕" w:hAnsi="맑은 고딕"/>
          <w:b/>
          <w:bCs/>
          <w:i w:val="false"/>
          <w:iCs w:val="false"/>
          <w:color w:val="1A1A1A"/>
          <w:sz w:val="20"/>
          <w:szCs w:val="20"/>
        </w:rPr>
        <w:t xml:space="preserve">타입별로 실제 적용된 부대비용률을 리포트에 표기</w:t>
      </w:r>
      <w:r>
        <w:rPr>
          <w:rFonts w:ascii="맑은 고딕" w:cs="맑은 고딕" w:eastAsia="맑은 고딕" w:hAnsi="맑은 고딕"/>
          <w:b w:val="false"/>
          <w:bCs w:val="false"/>
          <w:i w:val="false"/>
          <w:iCs w:val="false"/>
          <w:color w:val="1A1A1A"/>
          <w:sz w:val="20"/>
          <w:szCs w:val="20"/>
        </w:rPr>
        <w:t xml:space="preserve">합니다. 전제(1주택 유상거래, 중과·감면 미적용, 중개보수·법무비용 미포함)는 LIMITATION으로 병기되고, 그 전제가 판정을 좌우하는지는 강건성 검사(5.8.1)에서 다주택 중과 시나리오로 확인합니다.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우선 비교군 가중은 분포에만 적용합니다.</w:t>
      </w:r>
      <w:r>
        <w:rPr>
          <w:rFonts w:ascii="맑은 고딕" w:cs="맑은 고딕" w:eastAsia="맑은 고딕" w:hAnsi="맑은 고딕"/>
          <w:b w:val="false"/>
          <w:bCs w:val="false"/>
          <w:i w:val="false"/>
          <w:iCs w:val="false"/>
          <w:color w:val="1A1A1A"/>
          <w:sz w:val="20"/>
          <w:szCs w:val="20"/>
        </w:rPr>
        <w:t xml:space="preserve"> 신축 분양 현장의 우선 비교군은 분양권·입주권 실거래이므로(P1-1) 해당 거래에 가중을 둡니다. 다만 그 가중을 </w:t>
      </w:r>
      <w:r>
        <w:rPr>
          <w:rFonts w:ascii="맑은 고딕" w:cs="맑은 고딕" w:eastAsia="맑은 고딕" w:hAnsi="맑은 고딕"/>
          <w:b/>
          <w:bCs/>
          <w:i w:val="false"/>
          <w:iCs w:val="false"/>
          <w:color w:val="1A1A1A"/>
          <w:sz w:val="20"/>
          <w:szCs w:val="20"/>
        </w:rPr>
        <w:t xml:space="preserve">표본 수까지</w:t>
      </w:r>
      <w:r>
        <w:rPr>
          <w:rFonts w:ascii="맑은 고딕" w:cs="맑은 고딕" w:eastAsia="맑은 고딕" w:hAnsi="맑은 고딕"/>
          <w:b w:val="false"/>
          <w:bCs w:val="false"/>
          <w:i w:val="false"/>
          <w:iCs w:val="false"/>
          <w:color w:val="1A1A1A"/>
          <w:sz w:val="20"/>
          <w:szCs w:val="20"/>
        </w:rPr>
        <w:t xml:space="preserve"> 반영하면 "비교 거래 256건"이라고 적고 실제 관측은 197건인 상태가 되고, 부풀린 수가 신뢰도 판정과 최소 표본 게이트를 그대로 통과시킵니다. 당사 시스템은 가중을 분포 산출에만 쓰고, 리포트에는 </w:t>
      </w:r>
      <w:r>
        <w:rPr>
          <w:rFonts w:ascii="맑은 고딕" w:cs="맑은 고딕" w:eastAsia="맑은 고딕" w:hAnsi="맑은 고딕"/>
          <w:b/>
          <w:bCs/>
          <w:i w:val="false"/>
          <w:iCs w:val="false"/>
          <w:color w:val="1A1A1A"/>
          <w:sz w:val="20"/>
          <w:szCs w:val="20"/>
        </w:rPr>
        <w:t xml:space="preserve">'실제 거래'와 '유효표본'을 별도 열로</w:t>
      </w:r>
      <w:r>
        <w:rPr>
          <w:rFonts w:ascii="맑은 고딕" w:cs="맑은 고딕" w:eastAsia="맑은 고딕" w:hAnsi="맑은 고딕"/>
          <w:b w:val="false"/>
          <w:bCs w:val="false"/>
          <w:i w:val="false"/>
          <w:iCs w:val="false"/>
          <w:color w:val="1A1A1A"/>
          <w:sz w:val="20"/>
          <w:szCs w:val="20"/>
        </w:rPr>
        <w:t xml:space="preserve"> 제시합니다. 신뢰도와 표본 게이트는 실제 관측 건수로만 판정합니다 — 근거의 양은 가중치로 늘릴 수 있는 것이 아니기 때문입니다.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산출 정밀도.</w:t>
      </w:r>
      <w:r>
        <w:rPr>
          <w:rFonts w:ascii="맑은 고딕" w:cs="맑은 고딕" w:eastAsia="맑은 고딕" w:hAnsi="맑은 고딕"/>
          <w:b w:val="false"/>
          <w:bCs w:val="false"/>
          <w:i w:val="false"/>
          <w:iCs w:val="false"/>
          <w:color w:val="1A1A1A"/>
          <w:sz w:val="20"/>
          <w:szCs w:val="20"/>
        </w:rPr>
        <w:t xml:space="preserve"> 가격 검증은 현장 총평 수준에서 끝나지 않습니다. 품질조정 모델은 평형(타입)·층·향·동 위치의 차이를 조정 변수로 반영하므로, 산출물은 </w:t>
      </w:r>
      <w:r>
        <w:rPr>
          <w:rFonts w:ascii="맑은 고딕" w:cs="맑은 고딕" w:eastAsia="맑은 고딕" w:hAnsi="맑은 고딕"/>
          <w:b/>
          <w:bCs/>
          <w:i w:val="false"/>
          <w:iCs w:val="false"/>
          <w:color w:val="1A1A1A"/>
          <w:sz w:val="20"/>
          <w:szCs w:val="20"/>
        </w:rPr>
        <w:t xml:space="preserve">타입·층 구간 단위의 가격 밴드</w:t>
      </w:r>
      <w:r>
        <w:rPr>
          <w:rFonts w:ascii="맑은 고딕" w:cs="맑은 고딕" w:eastAsia="맑은 고딕" w:hAnsi="맑은 고딕"/>
          <w:b w:val="false"/>
          <w:bCs w:val="false"/>
          <w:i w:val="false"/>
          <w:iCs w:val="false"/>
          <w:color w:val="1A1A1A"/>
          <w:sz w:val="20"/>
          <w:szCs w:val="20"/>
        </w:rPr>
        <w:t xml:space="preserve">로 제시됩니다. 이 정밀도는 두 가지 실무 요구에 대응합니다 — 첫째, 잔여 세대의 타입·층별 판촉 우선순위 판단. 둘째, 상담 현장에서 "이 동·이 층은 왜 이 가격인가"라는 세대 단위 질문에 대한 근거 있는 답변.</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전세 기반 하방 점검.</w:t>
      </w:r>
      <w:r>
        <w:rPr>
          <w:rFonts w:ascii="맑은 고딕" w:cs="맑은 고딕" w:eastAsia="맑은 고딕" w:hAnsi="맑은 고딕"/>
          <w:b w:val="false"/>
          <w:bCs w:val="false"/>
          <w:i w:val="false"/>
          <w:iCs w:val="false"/>
          <w:color w:val="1A1A1A"/>
          <w:sz w:val="20"/>
          <w:szCs w:val="20"/>
        </w:rPr>
        <w:t xml:space="preserve"> 매매 실거래만으로는 "이 가격이 비싼가"에는 답할 수 있어도 </w:t>
      </w:r>
      <w:r>
        <w:rPr>
          <w:rFonts w:ascii="맑은 고딕" w:cs="맑은 고딕" w:eastAsia="맑은 고딕" w:hAnsi="맑은 고딕"/>
          <w:b/>
          <w:bCs/>
          <w:i w:val="false"/>
          <w:iCs w:val="false"/>
          <w:color w:val="1A1A1A"/>
          <w:sz w:val="20"/>
          <w:szCs w:val="20"/>
        </w:rPr>
        <w:t xml:space="preserve">"얼마나 밀릴 수 있는가"</w:t>
      </w:r>
      <w:r>
        <w:rPr>
          <w:rFonts w:ascii="맑은 고딕" w:cs="맑은 고딕" w:eastAsia="맑은 고딕" w:hAnsi="맑은 고딕"/>
          <w:b w:val="false"/>
          <w:bCs w:val="false"/>
          <w:i w:val="false"/>
          <w:iCs w:val="false"/>
          <w:color w:val="1A1A1A"/>
          <w:sz w:val="20"/>
          <w:szCs w:val="20"/>
        </w:rPr>
        <w:t xml:space="preserve">에는 답할 수 없습니다. 매매가에는 미래 기대가 섞여 있기 때문입니다. 전세가는 실거주 수요가 지금 지불하는 금액이라 기대가 섞이지 않으므로, 전세가율을 가격 하락 시의 </w:t>
      </w:r>
      <w:r>
        <w:rPr>
          <w:rFonts w:ascii="맑은 고딕" w:cs="맑은 고딕" w:eastAsia="맑은 고딕" w:hAnsi="맑은 고딕"/>
          <w:b/>
          <w:bCs/>
          <w:i w:val="false"/>
          <w:iCs w:val="false"/>
          <w:color w:val="1A1A1A"/>
          <w:sz w:val="20"/>
          <w:szCs w:val="20"/>
        </w:rPr>
        <w:t xml:space="preserve">완충 두께</w:t>
      </w:r>
      <w:r>
        <w:rPr>
          <w:rFonts w:ascii="맑은 고딕" w:cs="맑은 고딕" w:eastAsia="맑은 고딕" w:hAnsi="맑은 고딕"/>
          <w:b w:val="false"/>
          <w:bCs w:val="false"/>
          <w:i w:val="false"/>
          <w:iCs w:val="false"/>
          <w:color w:val="1A1A1A"/>
          <w:sz w:val="20"/>
          <w:szCs w:val="20"/>
        </w:rPr>
        <w:t xml:space="preserve">로 읽습니다.</w:t>
      </w:r>
    </w:p>
    <w:p>
      <w:pPr>
        <w:keepNext/>
        <w:spacing w:after="90" w:before="220"/>
      </w:pPr>
      <w:r>
        <w:rPr>
          <w:rFonts w:ascii="맑은 고딕" w:cs="맑은 고딕" w:eastAsia="맑은 고딕" w:hAnsi="맑은 고딕"/>
          <w:b/>
          <w:bCs/>
          <w:color w:val="1F3864"/>
          <w:sz w:val="18"/>
          <w:szCs w:val="18"/>
        </w:rPr>
        <w:t xml:space="preserve">[표 5-14-1] 전세 기반 하방 점검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 ㎡단가 ÷ 매매 ㎡단가. 70% 이상 하방 지지 두터움 / 55% 미만 완충 얇음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 추세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직전 동일 기간 대비 증감. 상승은 실거주 수요 강화, 하락은 약화 신호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전월세전환율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월세 시장이 요구하는 수익률. 전세 대비 월세 부담의 상대 수준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전세 충당율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중 전세보증금으로 회수 가능한 비율. 투자 수요의 실제 자금 부담을 근거 있는 수치로 설명</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가격 판정(5.8 ①)에는 다음과 같이 반영됩니다 — 총취득원가가 밴드 상단인데 전세 완충까지 얇으면 두 신호가 같은 방향을 가리키므로 하방 위험의 </w:t>
      </w:r>
      <w:r>
        <w:rPr>
          <w:rFonts w:ascii="맑은 고딕" w:cs="맑은 고딕" w:eastAsia="맑은 고딕" w:hAnsi="맑은 고딕"/>
          <w:b/>
          <w:bCs/>
          <w:i w:val="false"/>
          <w:iCs w:val="false"/>
          <w:color w:val="1A1A1A"/>
          <w:sz w:val="20"/>
          <w:szCs w:val="20"/>
        </w:rPr>
        <w:t xml:space="preserve">강도를 상향</w:t>
      </w:r>
      <w:r>
        <w:rPr>
          <w:rFonts w:ascii="맑은 고딕" w:cs="맑은 고딕" w:eastAsia="맑은 고딕" w:hAnsi="맑은 고딕"/>
          <w:b w:val="false"/>
          <w:bCs w:val="false"/>
          <w:i w:val="false"/>
          <w:iCs w:val="false"/>
          <w:color w:val="1A1A1A"/>
          <w:sz w:val="20"/>
          <w:szCs w:val="20"/>
        </w:rPr>
        <w:t xml:space="preserve">하고, 완충이 두터우면 </w:t>
      </w:r>
      <w:r>
        <w:rPr>
          <w:rFonts w:ascii="맑은 고딕" w:cs="맑은 고딕" w:eastAsia="맑은 고딕" w:hAnsi="맑은 고딕"/>
          <w:b/>
          <w:bCs/>
          <w:i w:val="false"/>
          <w:iCs w:val="false"/>
          <w:color w:val="1A1A1A"/>
          <w:sz w:val="20"/>
          <w:szCs w:val="20"/>
        </w:rPr>
        <w:t xml:space="preserve">강도를 하향</w:t>
      </w:r>
      <w:r>
        <w:rPr>
          <w:rFonts w:ascii="맑은 고딕" w:cs="맑은 고딕" w:eastAsia="맑은 고딕" w:hAnsi="맑은 고딕"/>
          <w:b w:val="false"/>
          <w:bCs w:val="false"/>
          <w:i w:val="false"/>
          <w:iCs w:val="false"/>
          <w:color w:val="1A1A1A"/>
          <w:sz w:val="20"/>
          <w:szCs w:val="20"/>
        </w:rPr>
        <w:t xml:space="preserve">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분석 규칙 두 가지.</w:t>
      </w:r>
      <w:r>
        <w:rPr>
          <w:rFonts w:ascii="맑은 고딕" w:cs="맑은 고딕" w:eastAsia="맑은 고딕" w:hAnsi="맑은 고딕"/>
          <w:b w:val="false"/>
          <w:bCs w:val="false"/>
          <w:i w:val="false"/>
          <w:iCs w:val="false"/>
          <w:color w:val="1A1A1A"/>
          <w:sz w:val="20"/>
          <w:szCs w:val="20"/>
        </w:rPr>
        <w:t xml:space="preserve"> 첫째, </w:t>
      </w:r>
      <w:r>
        <w:rPr>
          <w:rFonts w:ascii="맑은 고딕" w:cs="맑은 고딕" w:eastAsia="맑은 고딕" w:hAnsi="맑은 고딕"/>
          <w:b/>
          <w:bCs/>
          <w:i w:val="false"/>
          <w:iCs w:val="false"/>
          <w:color w:val="1A1A1A"/>
          <w:sz w:val="20"/>
          <w:szCs w:val="20"/>
        </w:rPr>
        <w:t xml:space="preserve">갱신 계약은 제외</w:t>
      </w:r>
      <w:r>
        <w:rPr>
          <w:rFonts w:ascii="맑은 고딕" w:cs="맑은 고딕" w:eastAsia="맑은 고딕" w:hAnsi="맑은 고딕"/>
          <w:b w:val="false"/>
          <w:bCs w:val="false"/>
          <w:i w:val="false"/>
          <w:iCs w:val="false"/>
          <w:color w:val="1A1A1A"/>
          <w:sz w:val="20"/>
          <w:szCs w:val="20"/>
        </w:rPr>
        <w:t xml:space="preserve">합니다 — 갱신요구권·상한제의 영향으로 신규 체결가와 가격 형성 논리가 다르기 때문이며, 제외 건수는 리포트에 표기됩니다. 둘째, 전세 표본이 최소 기준에 미달하면 전세가율을 산출하지 않고 그 사실을 기재합니다.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청약 수요 전망 (예상 청약경쟁률).</w:t>
      </w:r>
      <w:r>
        <w:rPr>
          <w:rFonts w:ascii="맑은 고딕" w:cs="맑은 고딕" w:eastAsia="맑은 고딕" w:hAnsi="맑은 고딕"/>
          <w:b w:val="false"/>
          <w:bCs w:val="false"/>
          <w:i w:val="false"/>
          <w:iCs w:val="false"/>
          <w:color w:val="1A1A1A"/>
          <w:sz w:val="20"/>
          <w:szCs w:val="20"/>
        </w:rPr>
        <w:t xml:space="preserve"> 청약 방식으로 공급되는 현장에 대해서는 예상 청약경쟁률을 </w:t>
      </w:r>
      <w:r>
        <w:rPr>
          <w:rFonts w:ascii="맑은 고딕" w:cs="맑은 고딕" w:eastAsia="맑은 고딕" w:hAnsi="맑은 고딕"/>
          <w:b/>
          <w:bCs/>
          <w:i w:val="false"/>
          <w:iCs w:val="false"/>
          <w:color w:val="1A1A1A"/>
          <w:sz w:val="20"/>
          <w:szCs w:val="20"/>
        </w:rPr>
        <w:t xml:space="preserve">구간(범위)과 미달 위험</w:t>
      </w:r>
      <w:r>
        <w:rPr>
          <w:rFonts w:ascii="맑은 고딕" w:cs="맑은 고딕" w:eastAsia="맑은 고딕" w:hAnsi="맑은 고딕"/>
          <w:b w:val="false"/>
          <w:bCs w:val="false"/>
          <w:i w:val="false"/>
          <w:iCs w:val="false"/>
          <w:color w:val="1A1A1A"/>
          <w:sz w:val="20"/>
          <w:szCs w:val="20"/>
        </w:rPr>
        <w:t xml:space="preserve">으로 제시합니다.</w:t>
      </w:r>
    </w:p>
    <w:p>
      <w:pPr>
        <w:keepNext/>
        <w:spacing w:after="90" w:before="220"/>
      </w:pPr>
      <w:r>
        <w:rPr>
          <w:rFonts w:ascii="맑은 고딕" w:cs="맑은 고딕" w:eastAsia="맑은 고딕" w:hAnsi="맑은 고딕"/>
          <w:b/>
          <w:bCs/>
          <w:color w:val="1F3864"/>
          <w:sz w:val="18"/>
          <w:szCs w:val="18"/>
        </w:rPr>
        <w:t xml:space="preserve">[표 5-14-2] 청약 수요 전망 모듈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변수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분양가와 주변 시세의 격차(품질조정 기준), 시장권 청약 이력(경쟁률·미달·가점 커트라인), 공급 파이프라인과 동시 분양 물량, 수요 기반(C1·C2), 미분양 재고, 청약 제도·전매 조건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및 타입별 예상 경쟁률 구간, 순위 내 마감·미달 위험 등급, 결과를 좌우하는 상위 민감 변수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시장권 청약 실적 대비 백테스트. 예측 구간의 실적 적중률을 산출하여 리포트에 병기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전망은 FORECAST 등급(5.9.1)으로 분류. 조건·범위 없이 단일 수치로 광고에 사용 금지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청약 전망의 실무 가치는 숫자 자체가 아니라 </w:t>
      </w:r>
      <w:r>
        <w:rPr>
          <w:rFonts w:ascii="맑은 고딕" w:cs="맑은 고딕" w:eastAsia="맑은 고딕" w:hAnsi="맑은 고딕"/>
          <w:b/>
          <w:bCs/>
          <w:i w:val="false"/>
          <w:iCs w:val="false"/>
          <w:color w:val="1A1A1A"/>
          <w:sz w:val="20"/>
          <w:szCs w:val="20"/>
        </w:rPr>
        <w:t xml:space="preserve">의사결정 시점의 이동</w:t>
      </w:r>
      <w:r>
        <w:rPr>
          <w:rFonts w:ascii="맑은 고딕" w:cs="맑은 고딕" w:eastAsia="맑은 고딕" w:hAnsi="맑은 고딕"/>
          <w:b w:val="false"/>
          <w:bCs w:val="false"/>
          <w:i w:val="false"/>
          <w:iCs w:val="false"/>
          <w:color w:val="1A1A1A"/>
          <w:sz w:val="20"/>
          <w:szCs w:val="20"/>
        </w:rPr>
        <w:t xml:space="preserve">에 있습니다. 미달 위험이 사전에 식별되면 분양가·타입 구성·판촉 조건의 조정을 청약 전에 검토할 수 있고, 높은 경쟁이 전망되면 청약 후 미계약분 관리와 정당계약 전환 준비에 자원을 배분할 수 있습니다. 모듈의 기술 명세와 검증 절차는 부록 E에 정의합니다.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실부담 시뮬레이션.</w:t>
      </w:r>
      <w:r>
        <w:rPr>
          <w:rFonts w:ascii="맑은 고딕" w:cs="맑은 고딕" w:eastAsia="맑은 고딕" w:hAnsi="맑은 고딕"/>
          <w:b w:val="false"/>
          <w:bCs w:val="false"/>
          <w:i w:val="false"/>
          <w:iCs w:val="false"/>
          <w:color w:val="1A1A1A"/>
          <w:sz w:val="20"/>
          <w:szCs w:val="20"/>
        </w:rPr>
        <w:t xml:space="preserve"> 총취득원가는 구매 시점의 비용입니다. 고객의 실제 질문은 한 단계 더 나아갑니다 — "자기자본이 얼마 필요하고, 매월 얼마를 부담하게 되는가." 이 질문에 답하기 위해 총취득원가 모듈을 실부담 시뮬레이션으로 확장합니다.</w:t>
      </w:r>
    </w:p>
    <w:p>
      <w:pPr>
        <w:keepNext/>
        <w:spacing w:after="90" w:before="220"/>
      </w:pPr>
      <w:r>
        <w:rPr>
          <w:rFonts w:ascii="맑은 고딕" w:cs="맑은 고딕" w:eastAsia="맑은 고딕" w:hAnsi="맑은 고딕"/>
          <w:b/>
          <w:bCs/>
          <w:color w:val="1F3864"/>
          <w:sz w:val="18"/>
          <w:szCs w:val="18"/>
        </w:rPr>
        <w:t xml:space="preserve">[표 5-14-3] 실부담 시뮬레이션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자기자본 요구액</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계약금·중도금 구조, 중도금 대출 조건(무이자·유이자), 잔금 대출 한도를 반영한 시점별 필요 자기자본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 부담 구간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대출 규제(LTV·DSR) 적용 한도와 금리 시나리오별 월 상환 부담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민감도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금리·대출 규제 변화에 따른 부담 변화 폭</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구매 가능 가구 규모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L5(소득·구매력)와 결합하여 생활권·통근권 내 "이 실부담을 감당 가능한 가구 수"를 추정 — 수요 판정(5.8 ②)의 입력으로 사용</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시뮬레이션은 상담 자료(제6장)의 자금 계획 안내와 동일한 산식을 사용하므로, 광고·상담·리포트의 부담액 설명이 일치합니다.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분양가 결정 시뮬레이션.</w:t>
      </w:r>
      <w:r>
        <w:rPr>
          <w:rFonts w:ascii="맑은 고딕" w:cs="맑은 고딕" w:eastAsia="맑은 고딕" w:hAnsi="맑은 고딕"/>
          <w:b w:val="false"/>
          <w:bCs w:val="false"/>
          <w:i w:val="false"/>
          <w:iCs w:val="false"/>
          <w:color w:val="1A1A1A"/>
          <w:sz w:val="20"/>
          <w:szCs w:val="20"/>
        </w:rPr>
        <w:t xml:space="preserve"> 위 모듈들은 "지금 가격이 어디쯤인가"에 답합니다. 그러나 시행사가 실제로 결정해야 하는 것은 </w:t>
      </w:r>
      <w:r>
        <w:rPr>
          <w:rFonts w:ascii="맑은 고딕" w:cs="맑은 고딕" w:eastAsia="맑은 고딕" w:hAnsi="맑은 고딕"/>
          <w:b/>
          <w:bCs/>
          <w:i w:val="false"/>
          <w:iCs w:val="false"/>
          <w:color w:val="1A1A1A"/>
          <w:sz w:val="20"/>
          <w:szCs w:val="20"/>
        </w:rPr>
        <w:t xml:space="preserve">"분양가를 얼마로 잡을 것인가"</w:t>
      </w:r>
      <w:r>
        <w:rPr>
          <w:rFonts w:ascii="맑은 고딕" w:cs="맑은 고딕" w:eastAsia="맑은 고딕" w:hAnsi="맑은 고딕"/>
          <w:b w:val="false"/>
          <w:bCs w:val="false"/>
          <w:i w:val="false"/>
          <w:iCs w:val="false"/>
          <w:color w:val="1A1A1A"/>
          <w:sz w:val="20"/>
          <w:szCs w:val="20"/>
        </w:rPr>
        <w:t xml:space="preserve">입니다. 진단과 결정 사이의 이 간극을 메우기 위해, 후보 가격대를 훑으며 각 가격에서 무엇이 달라지는지를 같은 근거로 계산합니다.</w:t>
      </w:r>
    </w:p>
    <w:p>
      <w:pPr>
        <w:keepNext/>
        <w:spacing w:after="90" w:before="220"/>
      </w:pPr>
      <w:r>
        <w:rPr>
          <w:rFonts w:ascii="맑은 고딕" w:cs="맑은 고딕" w:eastAsia="맑은 고딕" w:hAnsi="맑은 고딕"/>
          <w:b/>
          <w:bCs/>
          <w:color w:val="1F3864"/>
          <w:sz w:val="18"/>
          <w:szCs w:val="18"/>
        </w:rPr>
        <w:t xml:space="preserve">[표 5-14-4] 분양가 결정 시뮬레이션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각 후보 가격에서 산출되는 값</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위치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비교 밴드 대비 하단 / 내 / 상단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실부담 기준 구매 가능 가구 비율</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예상 경쟁률 구간 — 가격이 바뀌면 시세 갭이 바뀌고, 그러면 유사 사례 매칭 자체가 바뀝니다. 그 연쇄를 그대로 반영합니다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위험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순위 내 미달 위험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 분양수입 — 의사결정의 반대편 축</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권고는 예언이 아니라 규칙입니다.</w:t>
      </w:r>
      <w:r>
        <w:rPr>
          <w:rFonts w:ascii="맑은 고딕" w:cs="맑은 고딕" w:eastAsia="맑은 고딕" w:hAnsi="맑은 고딕"/>
          <w:b w:val="false"/>
          <w:bCs w:val="false"/>
          <w:i w:val="false"/>
          <w:iCs w:val="false"/>
          <w:color w:val="1A1A1A"/>
          <w:sz w:val="20"/>
          <w:szCs w:val="20"/>
        </w:rPr>
        <w:t xml:space="preserve"> 두 조건 — ① 미달 위험이 임계 이하 ② 총취득원가가 비교 밴드 상단을 넘지 않음 — 을 동시에 만족하는 후보 중 </w:t>
      </w:r>
      <w:r>
        <w:rPr>
          <w:rFonts w:ascii="맑은 고딕" w:cs="맑은 고딕" w:eastAsia="맑은 고딕" w:hAnsi="맑은 고딕"/>
          <w:b/>
          <w:bCs/>
          <w:i w:val="false"/>
          <w:iCs w:val="false"/>
          <w:color w:val="1A1A1A"/>
          <w:sz w:val="20"/>
          <w:szCs w:val="20"/>
        </w:rPr>
        <w:t xml:space="preserve">가장 높은 가격</w:t>
      </w:r>
      <w:r>
        <w:rPr>
          <w:rFonts w:ascii="맑은 고딕" w:cs="맑은 고딕" w:eastAsia="맑은 고딕" w:hAnsi="맑은 고딕"/>
          <w:b w:val="false"/>
          <w:bCs w:val="false"/>
          <w:i w:val="false"/>
          <w:iCs w:val="false"/>
          <w:color w:val="1A1A1A"/>
          <w:sz w:val="20"/>
          <w:szCs w:val="20"/>
        </w:rPr>
        <w:t xml:space="preserve">을 권고하며, </w:t>
      </w:r>
      <w:r>
        <w:rPr>
          <w:rFonts w:ascii="맑은 고딕" w:cs="맑은 고딕" w:eastAsia="맑은 고딕" w:hAnsi="맑은 고딕"/>
          <w:b/>
          <w:bCs/>
          <w:i w:val="false"/>
          <w:iCs w:val="false"/>
          <w:color w:val="1A1A1A"/>
          <w:sz w:val="20"/>
          <w:szCs w:val="20"/>
        </w:rPr>
        <w:t xml:space="preserve">그 판단 기준을 문장으로 함께 제시</w:t>
      </w:r>
      <w:r>
        <w:rPr>
          <w:rFonts w:ascii="맑은 고딕" w:cs="맑은 고딕" w:eastAsia="맑은 고딕" w:hAnsi="맑은 고딕"/>
          <w:b w:val="false"/>
          <w:bCs w:val="false"/>
          <w:i w:val="false"/>
          <w:iCs w:val="false"/>
          <w:color w:val="1A1A1A"/>
          <w:sz w:val="20"/>
          <w:szCs w:val="20"/>
        </w:rPr>
        <w:t xml:space="preserve">합니다. 조건을 바꾸면 답도 바뀐다는 사실이 발주처에게 보여야 하기 때문입니다.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권고하지 않는 경우도 사유를 구분해 말합니다. 비교 밴드 표본이 부족해 가격 위치를 판단할 수 없는 경우, 유사 청약 사례가 부족해 미달 위험을 산출할 수 없는 경우, 산출은 됐으나 두 조건을 만족하는 후보가 없는 경우 — 세 경우의 대응이 서로 다르므로 뭉뚱그리지 않습니다. 특히 세 번째는 마케팅이 아니라 </w:t>
      </w:r>
      <w:r>
        <w:rPr>
          <w:rFonts w:ascii="맑은 고딕" w:cs="맑은 고딕" w:eastAsia="맑은 고딕" w:hAnsi="맑은 고딕"/>
          <w:b/>
          <w:bCs/>
          <w:i w:val="false"/>
          <w:iCs w:val="false"/>
          <w:color w:val="1A1A1A"/>
          <w:sz w:val="20"/>
          <w:szCs w:val="20"/>
        </w:rPr>
        <w:t xml:space="preserve">원가·상품 구성의 재검토를 발주처 안건으로 제기해야 하는 신호</w:t>
      </w:r>
      <w:r>
        <w:rPr>
          <w:rFonts w:ascii="맑은 고딕" w:cs="맑은 고딕" w:eastAsia="맑은 고딕" w:hAnsi="맑은 고딕"/>
          <w:b w:val="false"/>
          <w:bCs w:val="false"/>
          <w:i w:val="false"/>
          <w:iCs w:val="false"/>
          <w:color w:val="1A1A1A"/>
          <w:sz w:val="20"/>
          <w:szCs w:val="20"/>
        </w:rPr>
        <w:t xml:space="preserve">입니다(5.8 판정 조합 참조).</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세분화와 표본의 균형 (롤업 규칙).</w:t>
      </w:r>
      <w:r>
        <w:rPr>
          <w:rFonts w:ascii="맑은 고딕" w:cs="맑은 고딕" w:eastAsia="맑은 고딕" w:hAnsi="맑은 고딕"/>
          <w:b w:val="false"/>
          <w:bCs w:val="false"/>
          <w:i w:val="false"/>
          <w:iCs w:val="false"/>
          <w:color w:val="1A1A1A"/>
          <w:sz w:val="20"/>
          <w:szCs w:val="20"/>
        </w:rPr>
        <w:t xml:space="preserve"> 타입·층 구간으로 세분화할수록 비교 표본은 감소합니다. 당사는 구간별 최소 표본 기준을 정의하고, 기준 미달 시 해당 구간의 수치를 상위 집계(타입 구간 → 타입 전체 → 현장)로 자동 롤업하며, </w:t>
      </w:r>
      <w:r>
        <w:rPr>
          <w:rFonts w:ascii="맑은 고딕" w:cs="맑은 고딕" w:eastAsia="맑은 고딕" w:hAnsi="맑은 고딕"/>
          <w:b/>
          <w:bCs/>
          <w:i w:val="false"/>
          <w:iCs w:val="false"/>
          <w:color w:val="1A1A1A"/>
          <w:sz w:val="20"/>
          <w:szCs w:val="20"/>
        </w:rPr>
        <w:t xml:space="preserve">롤업 사실을 리포트에 명시</w:t>
      </w:r>
      <w:r>
        <w:rPr>
          <w:rFonts w:ascii="맑은 고딕" w:cs="맑은 고딕" w:eastAsia="맑은 고딕" w:hAnsi="맑은 고딕"/>
          <w:b w:val="false"/>
          <w:bCs w:val="false"/>
          <w:i w:val="false"/>
          <w:iCs w:val="false"/>
          <w:color w:val="1A1A1A"/>
          <w:sz w:val="20"/>
          <w:szCs w:val="20"/>
        </w:rPr>
        <w:t xml:space="preserve">합니다. 표본이 지지하지 않는 세분화 수치를 제시하지 않는 것 — 이것이 세대 단위 정밀도 주장과 검증 가능성을 양립시키는 방법입니다.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가격 결론은 C1~C7의 검증 결과와 정합할 때만 채택됩니다. </w:t>
      </w:r>
      <w:r>
        <w:rPr>
          <w:rFonts w:ascii="맑은 고딕" w:cs="맑은 고딕" w:eastAsia="맑은 고딕" w:hAnsi="맑은 고딕"/>
          <w:b/>
          <w:bCs/>
          <w:i w:val="false"/>
          <w:iCs w:val="false"/>
          <w:color w:val="1A1A1A"/>
          <w:sz w:val="20"/>
          <w:szCs w:val="20"/>
        </w:rPr>
        <w:t xml:space="preserve">수요·공급·소득이 지지하지 않는 가격 우위 판정은, 시세 비교가 어떤 숫자를 보여주든 채택하지 않습니다.</w:t>
      </w:r>
    </w:p>
    <w:p>
      <w:pPr>
        <w:pStyle w:val="Heading2"/>
        <w:keepNext/>
        <w:spacing w:after="140" w:before="300"/>
      </w:pPr>
      <w:r>
        <w:rPr>
          <w:rFonts w:ascii="맑은 고딕" w:cs="맑은 고딕" w:eastAsia="맑은 고딕" w:hAnsi="맑은 고딕"/>
          <w:b/>
          <w:bCs/>
          <w:color w:val="1A1A1A"/>
          <w:sz w:val="23"/>
          <w:szCs w:val="23"/>
        </w:rPr>
        <w:t xml:space="preserve">5.6 개발호재 검증 — 성숙도 엔진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교통·도시계획·공공투자는 고객 관심이 가장 높은 동시에 과장 위험이 가장 큰 영역입니다. 당사는 두 가지를 분리하여 검증합니다.</w:t>
      </w:r>
    </w:p>
    <w:p>
      <w:pPr>
        <w:pStyle w:val="Heading3"/>
        <w:keepNext/>
        <w:spacing w:after="110" w:before="240"/>
      </w:pPr>
      <w:r>
        <w:rPr>
          <w:rFonts w:ascii="맑은 고딕" w:cs="맑은 고딕" w:eastAsia="맑은 고딕" w:hAnsi="맑은 고딕"/>
          <w:b/>
          <w:bCs/>
          <w:color w:val="5A5A5A"/>
          <w:sz w:val="20"/>
          <w:szCs w:val="20"/>
        </w:rPr>
        <w:t xml:space="preserve">5.6.1 실현 가능성 — 성숙도 단계 판정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철도·도로·도시계획을 동일한 "예정"으로 묶지 않고, 단계별로 구분하여 각 단계의 공식 원문(고시문, 예산서, 입찰·계약, 보상, 공정 자료)을 근거로 저장합니다.</w:t>
      </w:r>
    </w:p>
    <w:p>
      <w:pPr>
        <w:keepNext/>
        <w:spacing w:after="90" w:before="220"/>
      </w:pPr>
      <w:r>
        <w:rPr>
          <w:rFonts w:ascii="맑은 고딕" w:cs="맑은 고딕" w:eastAsia="맑은 고딕" w:hAnsi="맑은 고딕"/>
          <w:b/>
          <w:bCs/>
          <w:color w:val="1F3864"/>
          <w:sz w:val="18"/>
          <w:szCs w:val="18"/>
        </w:rPr>
        <w:t xml:space="preserve">[표 5-15] 성숙도 단계와 표현 통제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1"/>
        <w:gridCol w:w="3434"/>
        <w:gridCol w:w="4653"/>
      </w:tblGrid>
      <w:tr>
        <w:trPr>
          <w:cantSplit/>
          <w:tblHeader/>
        </w:trPr>
        <w:tc>
          <w:tcPr>
            <w:tcW w:type="dxa" w:w="155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단계군</w:t>
            </w:r>
          </w:p>
        </w:tc>
        <w:tc>
          <w:tcPr>
            <w:tcW w:type="dxa" w:w="343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해당 상태</w:t>
            </w:r>
          </w:p>
        </w:tc>
        <w:tc>
          <w:tcPr>
            <w:tcW w:type="dxa" w:w="46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광고·상담에서의 취급</w:t>
            </w:r>
          </w:p>
        </w:tc>
      </w:tr>
      <w:tr>
        <w:trPr>
          <w:cantSplit/>
          <w:tblHeader w:val="false"/>
        </w:trPr>
        <w:tc>
          <w:tcPr>
            <w:tcW w:type="dxa" w:w="15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 단계</w:t>
            </w:r>
          </w:p>
        </w:tc>
        <w:tc>
          <w:tcPr>
            <w:tcW w:type="dxa" w:w="34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아이디어·민원·공약·검토 요청</w:t>
            </w:r>
          </w:p>
        </w:tc>
        <w:tc>
          <w:tcPr>
            <w:tcW w:type="dxa" w:w="46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가능성으로만 표시. 확정적 표현 금지</w:t>
            </w:r>
          </w:p>
        </w:tc>
      </w:tr>
      <w:tr>
        <w:trPr>
          <w:cantSplit/>
          <w:tblHeader w:val="false"/>
        </w:trPr>
        <w:tc>
          <w:tcPr>
            <w:tcW w:type="dxa" w:w="15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추진 단계</w:t>
            </w:r>
          </w:p>
        </w:tc>
        <w:tc>
          <w:tcPr>
            <w:tcW w:type="dxa" w:w="34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계획 반영·타당성 조사·설계·인가</w:t>
            </w:r>
          </w:p>
        </w:tc>
        <w:tc>
          <w:tcPr>
            <w:tcW w:type="dxa" w:w="46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일정과 변경 위험을 병기</w:t>
            </w:r>
          </w:p>
        </w:tc>
      </w:tr>
      <w:tr>
        <w:trPr>
          <w:cantSplit/>
          <w:tblHeader w:val="false"/>
        </w:trPr>
        <w:tc>
          <w:tcPr>
            <w:tcW w:type="dxa" w:w="15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확정·실행 단계</w:t>
            </w:r>
          </w:p>
        </w:tc>
        <w:tc>
          <w:tcPr>
            <w:tcW w:type="dxa" w:w="34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집행·계약·보상·착공·개통</w:t>
            </w:r>
          </w:p>
        </w:tc>
        <w:tc>
          <w:tcPr>
            <w:tcW w:type="dxa" w:w="46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영향과 가격 반영 여부를 검증하여 표시</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5.6.2 현장 관련성 — 계산에 의한 검증</w:t>
      </w:r>
    </w:p>
    <w:p>
      <w:pPr>
        <w:keepNext/>
        <w:spacing w:after="90" w:before="220"/>
      </w:pPr>
      <w:r>
        <w:rPr>
          <w:rFonts w:ascii="맑은 고딕" w:cs="맑은 고딕" w:eastAsia="맑은 고딕" w:hAnsi="맑은 고딕"/>
          <w:b/>
          <w:bCs/>
          <w:color w:val="1F3864"/>
          <w:sz w:val="18"/>
          <w:szCs w:val="18"/>
        </w:rPr>
        <w:t xml:space="preserve">[표 5-16] 현장 관련성 검증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관련성</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노선·역·IC·구역과 현장 간 거리, 개통 전후 이동시간 변화(L8 시뮬레이션), 도달 가능 인구·일자리 변화</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선반영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발표 이후 인근 가격에 기대효과가 이미 반영됐는가 (5.4.2 이벤트 스터디)</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부정효과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소음·혼잡·추가 공급·공사 지연·민원·환경 위험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방지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 프로젝트의 계획·예산·착공을 별도 호재로 중복 합산하지 않음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호재의 기대효과는 </w:t>
      </w:r>
      <w:r>
        <w:rPr>
          <w:rFonts w:ascii="맑은 고딕" w:cs="맑은 고딕" w:eastAsia="맑은 고딕" w:hAnsi="맑은 고딕"/>
          <w:b/>
          <w:bCs/>
          <w:i w:val="false"/>
          <w:iCs w:val="false"/>
          <w:color w:val="1A1A1A"/>
          <w:sz w:val="20"/>
          <w:szCs w:val="20"/>
        </w:rPr>
        <w:t xml:space="preserve">"실현 가능성 × 현장 관련성 × 조건부 영향"</w:t>
      </w:r>
      <w:r>
        <w:rPr>
          <w:rFonts w:ascii="맑은 고딕" w:cs="맑은 고딕" w:eastAsia="맑은 고딕" w:hAnsi="맑은 고딕"/>
          <w:b w:val="false"/>
          <w:bCs w:val="false"/>
          <w:i w:val="false"/>
          <w:iCs w:val="false"/>
          <w:color w:val="1A1A1A"/>
          <w:sz w:val="20"/>
          <w:szCs w:val="20"/>
        </w:rPr>
        <w:t xml:space="preserve">의 구조로 설명하되, 수치의 정밀도보다 구성 요소와 불확실성의 분리를 우선합니다.</w:t>
      </w:r>
    </w:p>
    <w:p>
      <w:pPr>
        <w:pStyle w:val="Heading2"/>
        <w:keepNext/>
        <w:spacing w:after="140" w:before="300"/>
      </w:pPr>
      <w:r>
        <w:rPr>
          <w:rFonts w:ascii="맑은 고딕" w:cs="맑은 고딕" w:eastAsia="맑은 고딕" w:hAnsi="맑은 고딕"/>
          <w:b/>
          <w:bCs/>
          <w:color w:val="1A1A1A"/>
          <w:sz w:val="23"/>
          <w:szCs w:val="23"/>
        </w:rPr>
        <w:t xml:space="preserve">5.7 조건부 시나리오와 백테스트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미래 가격은 단일 숫자로 제시하지 않습니다.</w:t>
      </w:r>
    </w:p>
    <w:p>
      <w:pPr>
        <w:keepNext/>
        <w:spacing w:after="90" w:before="220"/>
      </w:pPr>
      <w:r>
        <w:rPr>
          <w:rFonts w:ascii="맑은 고딕" w:cs="맑은 고딕" w:eastAsia="맑은 고딕" w:hAnsi="맑은 고딕"/>
          <w:b/>
          <w:bCs/>
          <w:color w:val="1F3864"/>
          <w:sz w:val="18"/>
          <w:szCs w:val="18"/>
        </w:rPr>
        <w:t xml:space="preserve">[표 5-17] 시나리오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7795"/>
      </w:tblGrid>
      <w:tr>
        <w:trPr>
          <w:cantSplit/>
          <w:tblHeader/>
        </w:trPr>
        <w:tc>
          <w:tcPr>
            <w:tcW w:type="dxa" w:w="18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 요소</w:t>
            </w:r>
          </w:p>
        </w:tc>
        <w:tc>
          <w:tcPr>
            <w:tcW w:type="dxa" w:w="779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범위</w:t>
            </w:r>
          </w:p>
        </w:tc>
        <w:tc>
          <w:tcPr>
            <w:tcW w:type="dxa" w:w="77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하방(보수)·기준·상방(상승)의 세 구간</w:t>
            </w:r>
          </w:p>
        </w:tc>
      </w:tr>
      <w:tr>
        <w:trPr>
          <w:cantSplit/>
          <w:tblHeader w:val="false"/>
        </w:trPr>
        <w:tc>
          <w:tcPr>
            <w:tcW w:type="dxa" w:w="18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전제 변수</w:t>
            </w:r>
          </w:p>
        </w:tc>
        <w:tc>
          <w:tcPr>
            <w:tcW w:type="dxa" w:w="77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공급·금리·소득·접근성·사업 진척</w:t>
            </w:r>
          </w:p>
        </w:tc>
      </w:tr>
      <w:tr>
        <w:trPr>
          <w:cantSplit/>
          <w:tblHeader w:val="false"/>
        </w:trPr>
        <w:tc>
          <w:tcPr>
            <w:tcW w:type="dxa" w:w="18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병기 항목</w:t>
            </w:r>
          </w:p>
        </w:tc>
        <w:tc>
          <w:tcPr>
            <w:tcW w:type="dxa" w:w="77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시나리오의 전제 조건, 근거, 하락 위험, 추가 확인사항</w:t>
            </w:r>
          </w:p>
        </w:tc>
      </w:tr>
      <w:tr>
        <w:trPr>
          <w:cantSplit/>
          <w:tblHeader w:val="false"/>
        </w:trPr>
        <w:tc>
          <w:tcPr>
            <w:tcW w:type="dxa" w:w="18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민감도</w:t>
            </w:r>
          </w:p>
        </w:tc>
        <w:tc>
          <w:tcPr>
            <w:tcW w:type="dxa" w:w="77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어느 변수가 변동할 때 결론이 얼마나 바뀌는가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민감도를 함께 제시함으로써 시나리오가 "세 개의 숫자"가 아니라 </w:t>
      </w:r>
      <w:r>
        <w:rPr>
          <w:rFonts w:ascii="맑은 고딕" w:cs="맑은 고딕" w:eastAsia="맑은 고딕" w:hAnsi="맑은 고딕"/>
          <w:b/>
          <w:bCs/>
          <w:i w:val="false"/>
          <w:iCs w:val="false"/>
          <w:color w:val="1A1A1A"/>
          <w:sz w:val="20"/>
          <w:szCs w:val="20"/>
        </w:rPr>
        <w:t xml:space="preserve">판단의 지도</w:t>
      </w:r>
      <w:r>
        <w:rPr>
          <w:rFonts w:ascii="맑은 고딕" w:cs="맑은 고딕" w:eastAsia="맑은 고딕" w:hAnsi="맑은 고딕"/>
          <w:b w:val="false"/>
          <w:bCs w:val="false"/>
          <w:i w:val="false"/>
          <w:iCs w:val="false"/>
          <w:color w:val="1A1A1A"/>
          <w:sz w:val="20"/>
          <w:szCs w:val="20"/>
        </w:rPr>
        <w:t xml:space="preserve">로 기능하게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모델의 신뢰성은 백테스트로 관리합니다. 과거 시점에서 사용 가능했던 정보만으로 예측하고 실제 결과와 비교하는 시계열 검증(5.4.2)을 원칙으로 하며, 표본 부족이나 시장 구조 변화가 큰 경우 모델 수치를 축소하거나 정성 등급으로 전환합니다(5.4.5). 구간 예측의 적중률 관리 기준과 예측 이력의 봉인·대조 절차는 부록 E에 정의합니다.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검증은 운영과 같은 코드로 수행됩니다.</w:t>
      </w:r>
      <w:r>
        <w:rPr>
          <w:rFonts w:ascii="맑은 고딕" w:cs="맑은 고딕" w:eastAsia="맑은 고딕" w:hAnsi="맑은 고딕"/>
          <w:b w:val="false"/>
          <w:bCs w:val="false"/>
          <w:i w:val="false"/>
          <w:iCs w:val="false"/>
          <w:color w:val="1A1A1A"/>
          <w:sz w:val="20"/>
          <w:szCs w:val="20"/>
        </w:rPr>
        <w:t xml:space="preserve"> 백테스트가 별도 스크립트로 돌면 "리포트에 나가는 구간"과 "검증되는 구간"이 달라질 수 있습니다. 당사는 두 경로가 동일한 산출 함수를 호출하도록 구성하여, 검증된 것이 곧 납품되는 것임을 구조적으로 보장합니다. 조정계수 역시 이 백테스트와 홀드아웃 검증(5.4.6)을 통과할 때만 교체됩니다.</w:t>
      </w:r>
    </w:p>
    <w:p>
      <w:pPr>
        <w:pStyle w:val="Heading2"/>
        <w:keepNext/>
        <w:spacing w:after="140" w:before="300"/>
      </w:pPr>
      <w:r>
        <w:rPr>
          <w:rFonts w:ascii="맑은 고딕" w:cs="맑은 고딕" w:eastAsia="맑은 고딕" w:hAnsi="맑은 고딕"/>
          <w:b/>
          <w:bCs/>
          <w:color w:val="1A1A1A"/>
          <w:sz w:val="23"/>
          <w:szCs w:val="23"/>
        </w:rPr>
        <w:t xml:space="preserve">5.8 종합 판정 — 하나의 점수로 합산하지 않는다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서로 다른 의미를 가진 결과를 하나의 "AI 점수"로 합산하는 방식은 채택하지 않습니다. 합산 점수는 판단을 단순화하지만, 무엇이 강점이고 무엇이 위험인지를 가려 의사결정을 저해합니다.</w:t>
      </w:r>
    </w:p>
    <w:p>
      <w:pPr>
        <w:keepNext/>
        <w:spacing w:after="90" w:before="220"/>
      </w:pPr>
      <w:r>
        <w:rPr>
          <w:rFonts w:ascii="맑은 고딕" w:cs="맑은 고딕" w:eastAsia="맑은 고딕" w:hAnsi="맑은 고딕"/>
          <w:b/>
          <w:bCs/>
          <w:color w:val="1F3864"/>
          <w:sz w:val="18"/>
          <w:szCs w:val="18"/>
        </w:rPr>
        <w:t xml:space="preserve">[표 5-18] 네 개의 독립 판정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5"/>
        <w:gridCol w:w="6133"/>
        <w:gridCol w:w="1840"/>
      </w:tblGrid>
      <w:tr>
        <w:trPr>
          <w:cantSplit/>
          <w:tblHeader/>
        </w:trPr>
        <w:tc>
          <w:tcPr>
            <w:tcW w:type="dxa" w:w="16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 결과</w:t>
            </w:r>
          </w:p>
        </w:tc>
        <w:tc>
          <w:tcPr>
            <w:tcW w:type="dxa" w:w="613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답하는 질문</w:t>
            </w:r>
          </w:p>
        </w:tc>
        <w:tc>
          <w:tcPr>
            <w:tcW w:type="dxa" w:w="18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근거</w:t>
            </w:r>
          </w:p>
        </w:tc>
      </w:tr>
      <w:tr>
        <w:trPr>
          <w:cantSplit/>
          <w:tblHeader w:val="false"/>
        </w:trPr>
        <w:tc>
          <w:tcPr>
            <w:tcW w:type="dxa" w:w="16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현재 가격 위치</w:t>
            </w:r>
          </w:p>
        </w:tc>
        <w:tc>
          <w:tcPr>
            <w:tcW w:type="dxa" w:w="61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총취득원가가 품질과 시장을 고려할 때 어느 구간인가?</w:t>
            </w:r>
          </w:p>
        </w:tc>
        <w:tc>
          <w:tcPr>
            <w:tcW w:type="dxa" w:w="18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 가격 모듈(5.5)</w:t>
            </w:r>
          </w:p>
        </w:tc>
      </w:tr>
      <w:tr>
        <w:trPr>
          <w:cantSplit/>
          <w:tblHeader w:val="false"/>
        </w:trPr>
        <w:tc>
          <w:tcPr>
            <w:tcW w:type="dxa" w:w="16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w:t>
            </w:r>
          </w:p>
        </w:tc>
        <w:tc>
          <w:tcPr>
            <w:tcW w:type="dxa" w:w="61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실거주·근무·이동·구매 수요가 입주 시점까지 유지될 조건은 무엇인가?</w:t>
            </w:r>
          </w:p>
        </w:tc>
        <w:tc>
          <w:tcPr>
            <w:tcW w:type="dxa" w:w="18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C1·C2·C3</w:t>
            </w:r>
          </w:p>
        </w:tc>
      </w:tr>
      <w:tr>
        <w:trPr>
          <w:cantSplit/>
          <w:tblHeader w:val="false"/>
        </w:trPr>
        <w:tc>
          <w:tcPr>
            <w:tcW w:type="dxa" w:w="16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공급·환금성 위험</w:t>
            </w:r>
          </w:p>
        </w:tc>
        <w:tc>
          <w:tcPr>
            <w:tcW w:type="dxa" w:w="61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입주·미분양·거래 부족이 가격과 판매에 어떤 부담을 주는가?</w:t>
            </w:r>
          </w:p>
        </w:tc>
        <w:tc>
          <w:tcPr>
            <w:tcW w:type="dxa" w:w="18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C5·C6</w:t>
            </w:r>
          </w:p>
        </w:tc>
      </w:tr>
      <w:tr>
        <w:trPr>
          <w:cantSplit/>
          <w:tblHeader w:val="false"/>
        </w:trPr>
        <w:tc>
          <w:tcPr>
            <w:tcW w:type="dxa" w:w="16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촉매·실행 가능성</w:t>
            </w:r>
          </w:p>
        </w:tc>
        <w:tc>
          <w:tcPr>
            <w:tcW w:type="dxa" w:w="61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계획과 현장 개선 과제 중 실현 가능하고 영향력 있는 것은 무엇인가?</w:t>
            </w:r>
          </w:p>
        </w:tc>
        <w:tc>
          <w:tcPr>
            <w:tcW w:type="dxa" w:w="18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C7 + 성숙도 엔진(5.6)</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판정에는 5.4.5의 4속성(방향·강도·신뢰도·변화)이 표시됩니다. 판정 ①의 산출물에는 </w:t>
      </w:r>
      <w:r>
        <w:rPr>
          <w:rFonts w:ascii="맑은 고딕" w:cs="맑은 고딕" w:eastAsia="맑은 고딕" w:hAnsi="맑은 고딕"/>
          <w:b/>
          <w:bCs/>
          <w:i w:val="false"/>
          <w:iCs w:val="false"/>
          <w:color w:val="1A1A1A"/>
          <w:sz w:val="20"/>
          <w:szCs w:val="20"/>
        </w:rPr>
        <w:t xml:space="preserve">타입별 적정 가격 밴드</w:t>
      </w:r>
      <w:r>
        <w:rPr>
          <w:rFonts w:ascii="맑은 고딕" w:cs="맑은 고딕" w:eastAsia="맑은 고딕" w:hAnsi="맑은 고딕"/>
          <w:b w:val="false"/>
          <w:bCs w:val="false"/>
          <w:i w:val="false"/>
          <w:iCs w:val="false"/>
          <w:color w:val="1A1A1A"/>
          <w:sz w:val="20"/>
          <w:szCs w:val="20"/>
        </w:rPr>
        <w:t xml:space="preserve">와 </w:t>
      </w:r>
      <w:r>
        <w:rPr>
          <w:rFonts w:ascii="맑은 고딕" w:cs="맑은 고딕" w:eastAsia="맑은 고딕" w:hAnsi="맑은 고딕"/>
          <w:b/>
          <w:bCs/>
          <w:i w:val="false"/>
          <w:iCs w:val="false"/>
          <w:color w:val="1A1A1A"/>
          <w:sz w:val="20"/>
          <w:szCs w:val="20"/>
        </w:rPr>
        <w:t xml:space="preserve">전세 기반 하방 점검</w:t>
      </w:r>
      <w:r>
        <w:rPr>
          <w:rFonts w:ascii="맑은 고딕" w:cs="맑은 고딕" w:eastAsia="맑은 고딕" w:hAnsi="맑은 고딕"/>
          <w:b w:val="false"/>
          <w:bCs w:val="false"/>
          <w:i w:val="false"/>
          <w:iCs w:val="false"/>
          <w:color w:val="1A1A1A"/>
          <w:sz w:val="20"/>
          <w:szCs w:val="20"/>
        </w:rPr>
        <w:t xml:space="preserve">이, 판정 ②의 산출물에는 </w:t>
      </w:r>
      <w:r>
        <w:rPr>
          <w:rFonts w:ascii="맑은 고딕" w:cs="맑은 고딕" w:eastAsia="맑은 고딕" w:hAnsi="맑은 고딕"/>
          <w:b/>
          <w:bCs/>
          <w:i w:val="false"/>
          <w:iCs w:val="false"/>
          <w:color w:val="1A1A1A"/>
          <w:sz w:val="20"/>
          <w:szCs w:val="20"/>
        </w:rPr>
        <w:t xml:space="preserve">예상 청약경쟁률 구간과 미달 위험 등급</w:t>
      </w:r>
      <w:r>
        <w:rPr>
          <w:rFonts w:ascii="맑은 고딕" w:cs="맑은 고딕" w:eastAsia="맑은 고딕" w:hAnsi="맑은 고딕"/>
          <w:b w:val="false"/>
          <w:bCs w:val="false"/>
          <w:i w:val="false"/>
          <w:iCs w:val="false"/>
          <w:color w:val="1A1A1A"/>
          <w:sz w:val="20"/>
          <w:szCs w:val="20"/>
        </w:rPr>
        <w:t xml:space="preserve">(5.5)이 포함됩니다 — 모두 단일 수치가 아니라 5.7의 조건부 범위 규율을 적용한 구간 제시입니다. 네 판정을 종합한 결과는 </w:t>
      </w:r>
      <w:r>
        <w:rPr>
          <w:rFonts w:ascii="맑은 고딕" w:cs="맑은 고딕" w:eastAsia="맑은 고딕" w:hAnsi="맑은 고딕"/>
          <w:b/>
          <w:bCs/>
          <w:i w:val="false"/>
          <w:iCs w:val="false"/>
          <w:color w:val="1A1A1A"/>
          <w:sz w:val="20"/>
          <w:szCs w:val="20"/>
        </w:rPr>
        <w:t xml:space="preserve">분양가 결정 시뮬레이션</w:t>
      </w:r>
      <w:r>
        <w:rPr>
          <w:rFonts w:ascii="맑은 고딕" w:cs="맑은 고딕" w:eastAsia="맑은 고딕" w:hAnsi="맑은 고딕"/>
          <w:b w:val="false"/>
          <w:bCs w:val="false"/>
          <w:i w:val="false"/>
          <w:iCs w:val="false"/>
          <w:color w:val="1A1A1A"/>
          <w:sz w:val="20"/>
          <w:szCs w:val="20"/>
        </w:rPr>
        <w:t xml:space="preserve">(5.5)으로 이어져, 진단이 가격 결정 안건으로 전환됩니다.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판정의 근거에는 어떤 레이어가 기여했는지가 함께 표기됩니다. 예를 들어 판정 ②에는 지역 통계(L1·L2·L4)·인구이동(L3)·생활이동(L7)·교통 접근성(L8)·생활 인프라(L9)·실부담·청약 전망이 각각 별도 항목으로 나열되므로, 발주처는 </w:t>
      </w:r>
      <w:r>
        <w:rPr>
          <w:rFonts w:ascii="맑은 고딕" w:cs="맑은 고딕" w:eastAsia="맑은 고딕" w:hAnsi="맑은 고딕"/>
          <w:b/>
          <w:bCs/>
          <w:i w:val="false"/>
          <w:iCs w:val="false"/>
          <w:color w:val="1A1A1A"/>
          <w:sz w:val="20"/>
          <w:szCs w:val="20"/>
        </w:rPr>
        <w:t xml:space="preserve">어느 근거가 판정을 이끌었고 어느 근거가 미산출이었는지</w:t>
      </w:r>
      <w:r>
        <w:rPr>
          <w:rFonts w:ascii="맑은 고딕" w:cs="맑은 고딕" w:eastAsia="맑은 고딕" w:hAnsi="맑은 고딕"/>
          <w:b w:val="false"/>
          <w:bCs w:val="false"/>
          <w:i w:val="false"/>
          <w:iCs w:val="false"/>
          <w:color w:val="1A1A1A"/>
          <w:sz w:val="20"/>
          <w:szCs w:val="20"/>
        </w:rPr>
        <w:t xml:space="preserve">를 직접 확인할 수 있습니다.</w:t>
      </w:r>
    </w:p>
    <w:p>
      <w:pPr>
        <w:keepNext/>
        <w:spacing w:after="90" w:before="220"/>
      </w:pPr>
      <w:r>
        <w:rPr>
          <w:rFonts w:ascii="맑은 고딕" w:cs="맑은 고딕" w:eastAsia="맑은 고딕" w:hAnsi="맑은 고딕"/>
          <w:b/>
          <w:bCs/>
          <w:color w:val="1F3864"/>
          <w:sz w:val="18"/>
          <w:szCs w:val="18"/>
        </w:rPr>
        <w:t xml:space="preserve">[표 5-19] 판정 조합에 따른 판매 전략 방향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7"/>
        <w:gridCol w:w="5681"/>
      </w:tblGrid>
      <w:tr>
        <w:trPr>
          <w:cantSplit/>
          <w:tblHeader/>
        </w:trPr>
        <w:tc>
          <w:tcPr>
            <w:tcW w:type="dxa" w:w="395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 조합</w:t>
            </w:r>
          </w:p>
        </w:tc>
        <w:tc>
          <w:tcPr>
            <w:tcW w:type="dxa" w:w="568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전략</w:t>
            </w:r>
          </w:p>
        </w:tc>
      </w:tr>
      <w:tr>
        <w:trPr>
          <w:cantSplit/>
          <w:tblHeader w:val="false"/>
        </w:trPr>
        <w:tc>
          <w:tcPr>
            <w:tcW w:type="dxa" w:w="39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가격 위치 불리 + ② 수요 지속성 유리</w:t>
            </w:r>
          </w:p>
        </w:tc>
        <w:tc>
          <w:tcPr>
            <w:tcW w:type="dxa" w:w="568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조정보다 총취득원가 비교 논리와 수요 타깃 정밀화</w:t>
            </w:r>
          </w:p>
        </w:tc>
      </w:tr>
      <w:tr>
        <w:trPr>
          <w:cantSplit/>
          <w:tblHeader w:val="false"/>
        </w:trPr>
        <w:tc>
          <w:tcPr>
            <w:tcW w:type="dxa" w:w="39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 약함 + ③ 공급 위험 높음</w:t>
            </w:r>
          </w:p>
        </w:tc>
        <w:tc>
          <w:tcPr>
            <w:tcW w:type="dxa" w:w="568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마케팅 강화보다 조건 재검토를 발주처 안건으로 제기</w:t>
            </w:r>
          </w:p>
        </w:tc>
      </w:tr>
      <w:tr>
        <w:trPr>
          <w:cantSplit/>
          <w:tblHeader w:val="false"/>
        </w:trPr>
        <w:tc>
          <w:tcPr>
            <w:tcW w:type="dxa" w:w="39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 성숙도 낮음</w:t>
            </w:r>
          </w:p>
        </w:tc>
        <w:tc>
          <w:tcPr>
            <w:tcW w:type="dxa" w:w="568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의존 메시지를 배제하고 현재 가치 중심으로 설득 구성</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분석이 판매 전략의 형태를 결정합니다.</w:t>
      </w:r>
      <w:r>
        <w:rPr>
          <w:rFonts w:ascii="맑은 고딕" w:cs="맑은 고딕" w:eastAsia="맑은 고딕" w:hAnsi="맑은 고딕"/>
          <w:b w:val="false"/>
          <w:bCs w:val="false"/>
          <w:i w:val="false"/>
          <w:iCs w:val="false"/>
          <w:color w:val="1A1A1A"/>
          <w:sz w:val="20"/>
          <w:szCs w:val="20"/>
        </w:rPr>
        <w:t xml:space="preserve"> 이것이 "광고 전에 팔릴 근거를 검증한다"(제1장)의 구체적 의미입니다.</w:t>
      </w:r>
    </w:p>
    <w:p>
      <w:pPr>
        <w:pStyle w:val="Heading3"/>
        <w:keepNext/>
        <w:spacing w:after="110" w:before="240"/>
      </w:pPr>
      <w:r>
        <w:rPr>
          <w:rFonts w:ascii="맑은 고딕" w:cs="맑은 고딕" w:eastAsia="맑은 고딕" w:hAnsi="맑은 고딕"/>
          <w:b/>
          <w:bCs/>
          <w:color w:val="5A5A5A"/>
          <w:sz w:val="20"/>
          <w:szCs w:val="20"/>
        </w:rPr>
        <w:t xml:space="preserve">5.8.1 판정 강건성 검사 — 이 결론은 가정이 바뀌면 뒤집히는가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판정은 데이터만으로 나오지 않습니다. 연식 조정계수, LTV·DSR 한도, 단계별 공급 실현률, 촉매 실현 가능성처럼 </w:t>
      </w:r>
      <w:r>
        <w:rPr>
          <w:rFonts w:ascii="맑은 고딕" w:cs="맑은 고딕" w:eastAsia="맑은 고딕" w:hAnsi="맑은 고딕"/>
          <w:b/>
          <w:bCs/>
          <w:i w:val="false"/>
          <w:iCs w:val="false"/>
          <w:color w:val="1A1A1A"/>
          <w:sz w:val="20"/>
          <w:szCs w:val="20"/>
        </w:rPr>
        <w:t xml:space="preserve">선택된 가정</w:t>
      </w:r>
      <w:r>
        <w:rPr>
          <w:rFonts w:ascii="맑은 고딕" w:cs="맑은 고딕" w:eastAsia="맑은 고딕" w:hAnsi="맑은 고딕"/>
          <w:b w:val="false"/>
          <w:bCs w:val="false"/>
          <w:i w:val="false"/>
          <w:iCs w:val="false"/>
          <w:color w:val="1A1A1A"/>
          <w:sz w:val="20"/>
          <w:szCs w:val="20"/>
        </w:rPr>
        <w:t xml:space="preserve">이 함께 들어갑니다. 이 가정들은 리포트에 LIMITATION으로 기재되지만, 기재되어 있다는 것과 그 가정이 결론을 좌우한다는 것을 발주처가 아는 것은 다릅니다.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그래서 리포트는 매 회차 각 가정을 합리적 범위에서 흔든 뒤 </w:t>
      </w:r>
      <w:r>
        <w:rPr>
          <w:rFonts w:ascii="맑은 고딕" w:cs="맑은 고딕" w:eastAsia="맑은 고딕" w:hAnsi="맑은 고딕"/>
          <w:b/>
          <w:bCs/>
          <w:i w:val="false"/>
          <w:iCs w:val="false"/>
          <w:color w:val="1A1A1A"/>
          <w:sz w:val="20"/>
          <w:szCs w:val="20"/>
        </w:rPr>
        <w:t xml:space="preserve">운영과 동일한 판정 함수로</w:t>
      </w:r>
      <w:r>
        <w:rPr>
          <w:rFonts w:ascii="맑은 고딕" w:cs="맑은 고딕" w:eastAsia="맑은 고딕" w:hAnsi="맑은 고딕"/>
          <w:b w:val="false"/>
          <w:bCs w:val="false"/>
          <w:i w:val="false"/>
          <w:iCs w:val="false"/>
          <w:color w:val="1A1A1A"/>
          <w:sz w:val="20"/>
          <w:szCs w:val="20"/>
        </w:rPr>
        <w:t xml:space="preserve"> 판정을 다시 계산합니다. 방향이 유지되면 데이터가 지지하는 결론이고, 뒤집히면 그 판정은 가정에 의존합니다. 검사 결과는 리포트 1-2절에 표로 실리며, 뒤집힌 판정은 결론 요약 바로 아래에도 표기됩니다.</w:t>
      </w:r>
    </w:p>
    <w:p>
      <w:pPr>
        <w:keepNext/>
        <w:spacing w:after="90" w:before="220"/>
      </w:pPr>
      <w:r>
        <w:rPr>
          <w:rFonts w:ascii="맑은 고딕" w:cs="맑은 고딕" w:eastAsia="맑은 고딕" w:hAnsi="맑은 고딕"/>
          <w:b/>
          <w:bCs/>
          <w:color w:val="1F3864"/>
          <w:sz w:val="18"/>
          <w:szCs w:val="18"/>
        </w:rPr>
        <w:t xml:space="preserve">[표 5-19-1] 판정별 강건성 검사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6"/>
        <w:gridCol w:w="2090"/>
        <w:gridCol w:w="5342"/>
      </w:tblGrid>
      <w:tr>
        <w:trPr>
          <w:cantSplit/>
          <w:tblHeader/>
        </w:trPr>
        <w:tc>
          <w:tcPr>
            <w:tcW w:type="dxa" w:w="2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w:t>
            </w:r>
          </w:p>
        </w:tc>
        <w:tc>
          <w:tcPr>
            <w:tcW w:type="dxa" w:w="209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흔드는 가정</w:t>
            </w:r>
          </w:p>
        </w:tc>
        <w:tc>
          <w:tcPr>
            <w:tcW w:type="dxa" w:w="534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교란 폭</w:t>
            </w:r>
          </w:p>
        </w:tc>
      </w:tr>
      <w:tr>
        <w:trPr>
          <w:cantSplit/>
          <w:tblHeader w:val="false"/>
        </w:trP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현재 가격 위치</w:t>
            </w:r>
          </w:p>
        </w:tc>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연식 조정계수</w:t>
            </w:r>
          </w:p>
        </w:tc>
        <w:tc>
          <w:tcPr>
            <w:tcW w:type="dxa" w:w="534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×0.5 / ×1.5 (조정 상한도 같은 규칙으로 재계산)</w:t>
            </w:r>
          </w:p>
        </w:tc>
      </w:tr>
      <w:tr>
        <w:trPr>
          <w:cantSplit/>
          <w:tblHeader w:val="false"/>
        </w:trPr>
        <w:tc>
          <w:tcPr>
            <w:tcW w:type="dxa" w:w="2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현재 가격 위치</w:t>
            </w:r>
          </w:p>
        </w:tc>
        <w:tc>
          <w:tcPr>
            <w:tcW w:type="dxa" w:w="209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시점수정률</w:t>
            </w:r>
          </w:p>
        </w:tc>
        <w:tc>
          <w:tcPr>
            <w:tcW w:type="dxa" w:w="534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±2%p/년</w:t>
            </w:r>
          </w:p>
        </w:tc>
      </w:tr>
      <w:tr>
        <w:trPr>
          <w:cantSplit/>
          <w:tblHeader w:val="false"/>
        </w:trP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w:t>
            </w:r>
          </w:p>
        </w:tc>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LTV·DSR 한도</w:t>
            </w:r>
          </w:p>
        </w:tc>
        <w:tc>
          <w:tcPr>
            <w:tcW w:type="dxa" w:w="534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LTV 0.5→0.4 · DSR 0.4→0.3 (규제 강화)</w:t>
            </w:r>
          </w:p>
        </w:tc>
      </w:tr>
      <w:tr>
        <w:trPr>
          <w:cantSplit/>
          <w:tblHeader w:val="false"/>
        </w:trPr>
        <w:tc>
          <w:tcPr>
            <w:tcW w:type="dxa" w:w="2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w:t>
            </w:r>
          </w:p>
        </w:tc>
        <w:tc>
          <w:tcPr>
            <w:tcW w:type="dxa" w:w="209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가용 자기자본 배수</w:t>
            </w:r>
          </w:p>
        </w:tc>
        <w:tc>
          <w:tcPr>
            <w:tcW w:type="dxa" w:w="534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연소득×4 → ×3</w:t>
            </w:r>
          </w:p>
        </w:tc>
      </w:tr>
      <w:tr>
        <w:trPr>
          <w:cantSplit/>
          <w:tblHeader w:val="false"/>
        </w:trP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공급·환금성 위험</w:t>
            </w:r>
          </w:p>
        </w:tc>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공급 실현률</w:t>
            </w:r>
          </w:p>
        </w:tc>
        <w:tc>
          <w:tcPr>
            <w:tcW w:type="dxa" w:w="534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 단계 ±20%p</w:t>
            </w:r>
          </w:p>
        </w:tc>
      </w:tr>
      <w:tr>
        <w:trPr>
          <w:cantSplit/>
          <w:tblHeader w:val="false"/>
        </w:trPr>
        <w:tc>
          <w:tcPr>
            <w:tcW w:type="dxa" w:w="2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공급·환금성 위험</w:t>
            </w:r>
          </w:p>
        </w:tc>
        <w:tc>
          <w:tcPr>
            <w:tcW w:type="dxa" w:w="209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 '양호' 기준</w:t>
            </w:r>
          </w:p>
        </w:tc>
        <w:tc>
          <w:tcPr>
            <w:tcW w:type="dxa" w:w="534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 회전율 6% → 9%</w:t>
            </w:r>
          </w:p>
        </w:tc>
      </w:tr>
      <w:tr>
        <w:trPr>
          <w:cantSplit/>
          <w:tblHeader w:val="false"/>
        </w:trP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촉매·실행 가능성</w:t>
            </w:r>
          </w:p>
        </w:tc>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실현 가능성</w:t>
            </w:r>
          </w:p>
        </w:tc>
        <w:tc>
          <w:tcPr>
            <w:tcW w:type="dxa" w:w="534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±10%p</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검사에는 세 가지 규율이 적용됩니다. 첫째, </w:t>
      </w:r>
      <w:r>
        <w:rPr>
          <w:rFonts w:ascii="맑은 고딕" w:cs="맑은 고딕" w:eastAsia="맑은 고딕" w:hAnsi="맑은 고딕"/>
          <w:b/>
          <w:bCs/>
          <w:i w:val="false"/>
          <w:iCs w:val="false"/>
          <w:color w:val="1A1A1A"/>
          <w:sz w:val="20"/>
          <w:szCs w:val="20"/>
        </w:rPr>
        <w:t xml:space="preserve">판정 로직을 복제하지 않습니다</w:t>
      </w:r>
      <w:r>
        <w:rPr>
          <w:rFonts w:ascii="맑은 고딕" w:cs="맑은 고딕" w:eastAsia="맑은 고딕" w:hAnsi="맑은 고딕"/>
          <w:b w:val="false"/>
          <w:bCs w:val="false"/>
          <w:i w:val="false"/>
          <w:iCs w:val="false"/>
          <w:color w:val="1A1A1A"/>
          <w:sz w:val="20"/>
          <w:szCs w:val="20"/>
        </w:rPr>
        <w:t xml:space="preserve"> — 교란은 운영 함수의 파라미터로만 들어가며, 검사 대상과 검사 도구가 갈라지면 검사 자체가 무의미해지기 때문입니다. 둘째, </w:t>
      </w:r>
      <w:r>
        <w:rPr>
          <w:rFonts w:ascii="맑은 고딕" w:cs="맑은 고딕" w:eastAsia="맑은 고딕" w:hAnsi="맑은 고딕"/>
          <w:b/>
          <w:bCs/>
          <w:i w:val="false"/>
          <w:iCs w:val="false"/>
          <w:color w:val="1A1A1A"/>
          <w:sz w:val="20"/>
          <w:szCs w:val="20"/>
        </w:rPr>
        <w:t xml:space="preserve">흔들 수 없는 가정은 '검사 안 함'으로 남깁니다</w:t>
      </w:r>
      <w:r>
        <w:rPr>
          <w:rFonts w:ascii="맑은 고딕" w:cs="맑은 고딕" w:eastAsia="맑은 고딕" w:hAnsi="맑은 고딕"/>
          <w:b w:val="false"/>
          <w:bCs w:val="false"/>
          <w:i w:val="false"/>
          <w:iCs w:val="false"/>
          <w:color w:val="1A1A1A"/>
          <w:sz w:val="20"/>
          <w:szCs w:val="20"/>
        </w:rPr>
        <w:t xml:space="preserve"> — 소득 표본이 없어 수요 판정을 재계산할 수 없으면 그 사실을 사유와 함께 적습니다. 셋째, </w:t>
      </w:r>
      <w:r>
        <w:rPr>
          <w:rFonts w:ascii="맑은 고딕" w:cs="맑은 고딕" w:eastAsia="맑은 고딕" w:hAnsi="맑은 고딕"/>
          <w:b/>
          <w:bCs/>
          <w:i w:val="false"/>
          <w:iCs w:val="false"/>
          <w:color w:val="1A1A1A"/>
          <w:sz w:val="20"/>
          <w:szCs w:val="20"/>
        </w:rPr>
        <w:t xml:space="preserve">교란 폭 자체가 가정임을 밝힙니다</w:t>
      </w:r>
      <w:r>
        <w:rPr>
          <w:rFonts w:ascii="맑은 고딕" w:cs="맑은 고딕" w:eastAsia="맑은 고딕" w:hAnsi="맑은 고딕"/>
          <w:b w:val="false"/>
          <w:bCs w:val="false"/>
          <w:i w:val="false"/>
          <w:iCs w:val="false"/>
          <w:color w:val="1A1A1A"/>
          <w:sz w:val="20"/>
          <w:szCs w:val="20"/>
        </w:rPr>
        <w:t xml:space="preserve"> — 폭은 상수로 노출되어 있고 근거원장에 한계로 등재됩니다.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결과는 상담 단계까지 이어집니다. 가정 의존으로 판정된 축의 답변은 판매 논리 산출물(제6장)에서 </w:t>
      </w:r>
      <w:r>
        <w:rPr>
          <w:rFonts w:ascii="맑은 고딕" w:cs="맑은 고딕" w:eastAsia="맑은 고딕" w:hAnsi="맑은 고딕"/>
          <w:b/>
          <w:bCs/>
          <w:i w:val="false"/>
          <w:iCs w:val="false"/>
          <w:color w:val="1A1A1A"/>
          <w:sz w:val="20"/>
          <w:szCs w:val="20"/>
        </w:rPr>
        <w:t xml:space="preserve">단정형 문장 사용이 차단</w:t>
      </w:r>
      <w:r>
        <w:rPr>
          <w:rFonts w:ascii="맑은 고딕" w:cs="맑은 고딕" w:eastAsia="맑은 고딕" w:hAnsi="맑은 고딕"/>
          <w:b w:val="false"/>
          <w:bCs w:val="false"/>
          <w:i w:val="false"/>
          <w:iCs w:val="false"/>
          <w:color w:val="1A1A1A"/>
          <w:sz w:val="20"/>
          <w:szCs w:val="20"/>
        </w:rPr>
        <w:t xml:space="preserve">되고 "현재 가정 기준"이 병기됩니다. 분석이 스스로 흔들린다고 밝힌 결론을 상담 조직이 확언으로 사용하는 것을 구조적으로 막기 위해서입니다.</w:t>
      </w:r>
    </w:p>
    <w:p>
      <w:pPr>
        <w:pStyle w:val="Heading2"/>
        <w:keepNext/>
        <w:spacing w:after="140" w:before="300"/>
      </w:pPr>
      <w:r>
        <w:rPr>
          <w:rFonts w:ascii="맑은 고딕" w:cs="맑은 고딕" w:eastAsia="맑은 고딕" w:hAnsi="맑은 고딕"/>
          <w:b/>
          <w:bCs/>
          <w:color w:val="1A1A1A"/>
          <w:sz w:val="23"/>
          <w:szCs w:val="23"/>
        </w:rPr>
        <w:t xml:space="preserve">5.9 신뢰 통제 장치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 결과가 광고·상담으로 전달되는 경로에는 세 겹의 통제가 있습니다.</w:t>
      </w:r>
    </w:p>
    <w:p>
      <w:pPr>
        <w:pStyle w:val="Heading3"/>
        <w:keepNext/>
        <w:spacing w:after="110" w:before="240"/>
      </w:pPr>
      <w:r>
        <w:rPr>
          <w:rFonts w:ascii="맑은 고딕" w:cs="맑은 고딕" w:eastAsia="맑은 고딕" w:hAnsi="맑은 고딕"/>
          <w:b/>
          <w:bCs/>
          <w:color w:val="5A5A5A"/>
          <w:sz w:val="20"/>
          <w:szCs w:val="20"/>
        </w:rPr>
        <w:t xml:space="preserve">5.9.1 다섯 가지 표현 등급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분석의 모든 문장은 다음 중 하나로 분류되며, 등급에 따라 사용 가능한 표현의 강도가 달라집니다.</w:t>
      </w:r>
    </w:p>
    <w:p>
      <w:pPr>
        <w:keepNext/>
        <w:spacing w:after="90" w:before="220"/>
      </w:pPr>
      <w:r>
        <w:rPr>
          <w:rFonts w:ascii="맑은 고딕" w:cs="맑은 고딕" w:eastAsia="맑은 고딕" w:hAnsi="맑은 고딕"/>
          <w:b/>
          <w:bCs/>
          <w:color w:val="1F3864"/>
          <w:sz w:val="18"/>
          <w:szCs w:val="18"/>
        </w:rPr>
        <w:t xml:space="preserve">[표 5-20] 분석 표현의 5등급</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2"/>
        <w:gridCol w:w="3771"/>
        <w:gridCol w:w="4715"/>
      </w:tblGrid>
      <w:tr>
        <w:trPr>
          <w:cantSplit/>
          <w:tblHeader/>
        </w:trPr>
        <w:tc>
          <w:tcPr>
            <w:tcW w:type="dxa" w:w="1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표시</w:t>
            </w:r>
          </w:p>
        </w:tc>
        <w:tc>
          <w:tcPr>
            <w:tcW w:type="dxa" w:w="37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의미</w:t>
            </w:r>
          </w:p>
        </w:tc>
        <w:tc>
          <w:tcPr>
            <w:tcW w:type="dxa" w:w="47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예시</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FACT</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자료에서 직접 확인한 사실</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현재 실거래, 고시, 예산, 착공 상태</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CALCULATION</w:t>
            </w:r>
          </w:p>
        </w:tc>
        <w:tc>
          <w:tcPr>
            <w:tcW w:type="dxa" w:w="37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공개된 입력값과 산식으로 산출한 계산</w:t>
            </w:r>
          </w:p>
        </w:tc>
        <w:tc>
          <w:tcPr>
            <w:tcW w:type="dxa" w:w="47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시간권 인구, 공급 부담</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INFERENCE</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여러 근거를 연결한 해석</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직주근접 수요 가능성, 가격 저항의 원인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FORECAST</w:t>
            </w:r>
          </w:p>
        </w:tc>
        <w:tc>
          <w:tcPr>
            <w:tcW w:type="dxa" w:w="37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조건에 따라 달라지는 미래 시나리오</w:t>
            </w:r>
          </w:p>
        </w:tc>
        <w:tc>
          <w:tcPr>
            <w:tcW w:type="dxa" w:w="47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가정별 가격 범위</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LIMITATION</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데이터·권한·방법론의 한계</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데이터 미확보, 주소 매칭 오차, 표본 부족</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LIMITATION을 등급의 하나로 명시하는 이유는, </w:t>
      </w:r>
      <w:r>
        <w:rPr>
          <w:rFonts w:ascii="맑은 고딕" w:cs="맑은 고딕" w:eastAsia="맑은 고딕" w:hAnsi="맑은 고딕"/>
          <w:b/>
          <w:bCs/>
          <w:i w:val="false"/>
          <w:iCs w:val="false"/>
          <w:color w:val="1A1A1A"/>
          <w:sz w:val="20"/>
          <w:szCs w:val="20"/>
        </w:rPr>
        <w:t xml:space="preserve">분석이 말할 수 없는 것을 말할 수 없다고 기록하는 것</w:t>
      </w:r>
      <w:r>
        <w:rPr>
          <w:rFonts w:ascii="맑은 고딕" w:cs="맑은 고딕" w:eastAsia="맑은 고딕" w:hAnsi="맑은 고딕"/>
          <w:b w:val="false"/>
          <w:bCs w:val="false"/>
          <w:i w:val="false"/>
          <w:iCs w:val="false"/>
          <w:color w:val="1A1A1A"/>
          <w:sz w:val="20"/>
          <w:szCs w:val="20"/>
        </w:rPr>
        <w:t xml:space="preserve">이 말할 수 있는 것의 신뢰를 지키는 방법이기 때문입니다.</w:t>
      </w:r>
    </w:p>
    <w:p>
      <w:pPr>
        <w:pStyle w:val="Heading3"/>
        <w:keepNext/>
        <w:spacing w:after="110" w:before="240"/>
      </w:pPr>
      <w:r>
        <w:rPr>
          <w:rFonts w:ascii="맑은 고딕" w:cs="맑은 고딕" w:eastAsia="맑은 고딕" w:hAnsi="맑은 고딕"/>
          <w:b/>
          <w:bCs/>
          <w:color w:val="5A5A5A"/>
          <w:sz w:val="20"/>
          <w:szCs w:val="20"/>
        </w:rPr>
        <w:t xml:space="preserve">5.9.2 근거원장 — 모든 주장에 검증 가능한 주소를 부여한다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핵심 주장은 근거카드로 관리되어 역추적 가능합니다.</w:t>
      </w:r>
    </w:p>
    <w:p>
      <w:pPr>
        <w:keepNext/>
        <w:spacing w:after="90" w:before="220"/>
      </w:pPr>
      <w:r>
        <w:rPr>
          <w:rFonts w:ascii="맑은 고딕" w:cs="맑은 고딕" w:eastAsia="맑은 고딕" w:hAnsi="맑은 고딕"/>
          <w:b/>
          <w:bCs/>
          <w:color w:val="1F3864"/>
          <w:sz w:val="18"/>
          <w:szCs w:val="18"/>
        </w:rPr>
        <w:t xml:space="preserve">[표 5-21] 근거카드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기록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무엇을 판단했는가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기관·데이터명·문서번호·기준일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범위·단위·계산 방식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약화하는 데이터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가능 문장·금지 문장·추가 확인사항</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개발호재에는 별도의 </w:t>
      </w:r>
      <w:r>
        <w:rPr>
          <w:rFonts w:ascii="맑은 고딕" w:cs="맑은 고딕" w:eastAsia="맑은 고딕" w:hAnsi="맑은 고딕"/>
          <w:b/>
          <w:bCs/>
          <w:i w:val="false"/>
          <w:iCs w:val="false"/>
          <w:color w:val="1A1A1A"/>
          <w:sz w:val="20"/>
          <w:szCs w:val="20"/>
        </w:rPr>
        <w:t xml:space="preserve">촉매카드</w:t>
      </w:r>
      <w:r>
        <w:rPr>
          <w:rFonts w:ascii="맑은 고딕" w:cs="맑은 고딕" w:eastAsia="맑은 고딕" w:hAnsi="맑은 고딕"/>
          <w:b w:val="false"/>
          <w:bCs w:val="false"/>
          <w:i w:val="false"/>
          <w:iCs w:val="false"/>
          <w:color w:val="1A1A1A"/>
          <w:sz w:val="20"/>
          <w:szCs w:val="20"/>
        </w:rPr>
        <w:t xml:space="preserve">를 고객용으로 제공합니다 — 프로젝트 공식명·사업주체, 현장과의 거리·시간 관계, 공식 추진 단계와 기준일, 정부 원문 링크, 예산 집행 현황, 당사 계산, 반대근거, 사용 가능·조건부·금지 문장.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내부적으로는 데이터·계산·주장·프로젝트 상태·광고사용의 5개 원장이 이를 뒷받침합니다. 특히 </w:t>
      </w:r>
      <w:r>
        <w:rPr>
          <w:rFonts w:ascii="맑은 고딕" w:cs="맑은 고딕" w:eastAsia="맑은 고딕" w:hAnsi="맑은 고딕"/>
          <w:b/>
          <w:bCs/>
          <w:i w:val="false"/>
          <w:iCs w:val="false"/>
          <w:color w:val="1A1A1A"/>
          <w:sz w:val="20"/>
          <w:szCs w:val="20"/>
        </w:rPr>
        <w:t xml:space="preserve">광고사용 원장</w:t>
      </w:r>
      <w:r>
        <w:rPr>
          <w:rFonts w:ascii="맑은 고딕" w:cs="맑은 고딕" w:eastAsia="맑은 고딕" w:hAnsi="맑은 고딕"/>
          <w:b w:val="false"/>
          <w:bCs w:val="false"/>
          <w:i w:val="false"/>
          <w:iCs w:val="false"/>
          <w:color w:val="1A1A1A"/>
          <w:sz w:val="20"/>
          <w:szCs w:val="20"/>
        </w:rPr>
        <w:t xml:space="preserve">은 "이 문구를 언제, 누가, 어떤 근거로 승인했고, 어떤 조건에서 철회되는가"를 기록하여 표현 책임의 소재를 명확히 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리포트에 실리는 형태.</w:t>
      </w:r>
      <w:r>
        <w:rPr>
          <w:rFonts w:ascii="맑은 고딕" w:cs="맑은 고딕" w:eastAsia="맑은 고딕" w:hAnsi="맑은 고딕"/>
          <w:b w:val="false"/>
          <w:bCs w:val="false"/>
          <w:i w:val="false"/>
          <w:iCs w:val="false"/>
          <w:color w:val="1A1A1A"/>
          <w:sz w:val="20"/>
          <w:szCs w:val="20"/>
        </w:rPr>
        <w:t xml:space="preserve"> 근거원장은 내부 관리 문서에 그치지 않고, </w:t>
      </w:r>
      <w:r>
        <w:rPr>
          <w:rFonts w:ascii="맑은 고딕" w:cs="맑은 고딕" w:eastAsia="맑은 고딕" w:hAnsi="맑은 고딕"/>
          <w:b/>
          <w:bCs/>
          <w:i w:val="false"/>
          <w:iCs w:val="false"/>
          <w:color w:val="1A1A1A"/>
          <w:sz w:val="20"/>
          <w:szCs w:val="20"/>
        </w:rPr>
        <w:t xml:space="preserve">진단리포트의 한 절로 함께 납품</w:t>
      </w:r>
      <w:r>
        <w:rPr>
          <w:rFonts w:ascii="맑은 고딕" w:cs="맑은 고딕" w:eastAsia="맑은 고딕" w:hAnsi="맑은 고딕"/>
          <w:b w:val="false"/>
          <w:bCs w:val="false"/>
          <w:i w:val="false"/>
          <w:iCs w:val="false"/>
          <w:color w:val="1A1A1A"/>
          <w:sz w:val="20"/>
          <w:szCs w:val="20"/>
        </w:rPr>
        <w:t xml:space="preserve">됩니다. 리포트를 읽는 사람이 어떤 수치든 짚어서 되물을 수 있어야 하기 때문입니다.</w:t>
      </w:r>
    </w:p>
    <w:p>
      <w:pPr>
        <w:keepNext/>
        <w:spacing w:after="90" w:before="220"/>
      </w:pPr>
      <w:r>
        <w:rPr>
          <w:rFonts w:ascii="맑은 고딕" w:cs="맑은 고딕" w:eastAsia="맑은 고딕" w:hAnsi="맑은 고딕"/>
          <w:b/>
          <w:bCs/>
          <w:color w:val="1F3864"/>
          <w:sz w:val="18"/>
          <w:szCs w:val="18"/>
        </w:rPr>
        <w:t xml:space="preserve">[표 5-21-1] 근거원장 등재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기록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ID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본문에서 참조하는 식별자 (E-01, E-02 …)</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지표·값</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무엇이 얼마인가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어느 모듈의 어떤 규칙으로 계산했는가 — 정제 룰 버전, 모델 버전, 계수 출처 포함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수집 이력에 기반하는가 — 출처명·수집 시각·응답 해시(SHA-256)</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몇 건에서 나왔는가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등급</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FACT / CALCULATION / INFERENCE / FORECAST / LIMITATION (5.9.1)</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수치를 읽을 때 반드시 함께 봐야 하는 제약</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산출하지 못한 지표도 '미산출'로 등재합니다.</w:t>
      </w:r>
      <w:r>
        <w:rPr>
          <w:rFonts w:ascii="맑은 고딕" w:cs="맑은 고딕" w:eastAsia="맑은 고딕" w:hAnsi="맑은 고딕"/>
          <w:b w:val="false"/>
          <w:bCs w:val="false"/>
          <w:i w:val="false"/>
          <w:iCs w:val="false"/>
          <w:color w:val="1A1A1A"/>
          <w:sz w:val="20"/>
          <w:szCs w:val="20"/>
        </w:rPr>
        <w:t xml:space="preserve"> 없는 근거를 조용히 빼면, 독자는 그 지표가 </w:t>
      </w:r>
      <w:r>
        <w:rPr>
          <w:rFonts w:ascii="맑은 고딕" w:cs="맑은 고딕" w:eastAsia="맑은 고딕" w:hAnsi="맑은 고딕"/>
          <w:b w:val="false"/>
          <w:bCs w:val="false"/>
          <w:i/>
          <w:iCs/>
          <w:color w:val="5A5A5A"/>
          <w:sz w:val="20"/>
          <w:szCs w:val="20"/>
        </w:rPr>
        <w:t xml:space="preserve">검토되지 않았는지</w:t>
      </w:r>
      <w:r>
        <w:rPr>
          <w:rFonts w:ascii="맑은 고딕" w:cs="맑은 고딕" w:eastAsia="맑은 고딕" w:hAnsi="맑은 고딕"/>
          <w:b w:val="false"/>
          <w:bCs w:val="false"/>
          <w:i w:val="false"/>
          <w:iCs w:val="false"/>
          <w:color w:val="1A1A1A"/>
          <w:sz w:val="20"/>
          <w:szCs w:val="20"/>
        </w:rPr>
        <w:t xml:space="preserve"> 아니면 </w:t>
      </w:r>
      <w:r>
        <w:rPr>
          <w:rFonts w:ascii="맑은 고딕" w:cs="맑은 고딕" w:eastAsia="맑은 고딕" w:hAnsi="맑은 고딕"/>
          <w:b w:val="false"/>
          <w:bCs w:val="false"/>
          <w:i/>
          <w:iCs/>
          <w:color w:val="5A5A5A"/>
          <w:sz w:val="20"/>
          <w:szCs w:val="20"/>
        </w:rPr>
        <w:t xml:space="preserve">검토했으나 표본이 기준에 미달했는지</w:t>
      </w:r>
      <w:r>
        <w:rPr>
          <w:rFonts w:ascii="맑은 고딕" w:cs="맑은 고딕" w:eastAsia="맑은 고딕" w:hAnsi="맑은 고딕"/>
          <w:b w:val="false"/>
          <w:bCs w:val="false"/>
          <w:i w:val="false"/>
          <w:iCs w:val="false"/>
          <w:color w:val="1A1A1A"/>
          <w:sz w:val="20"/>
          <w:szCs w:val="20"/>
        </w:rPr>
        <w:t xml:space="preserve"> 구분할 수 없습니다. 그 구분이 신뢰의 핵심이므로 빼지 않고 사유와 함께 남깁니다.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인증키·원본 요청 URL은 원장에 기록되지 않습니다. 출처명과 응답 해시만으로 재현·대조가 가능하며, 자격증명이 산출물로 새어 나가지 않도록 통제합니다.</w:t>
      </w:r>
    </w:p>
    <w:p>
      <w:pPr>
        <w:pStyle w:val="Heading3"/>
        <w:keepNext/>
        <w:spacing w:after="110" w:before="240"/>
      </w:pPr>
      <w:r>
        <w:rPr>
          <w:rFonts w:ascii="맑은 고딕" w:cs="맑은 고딕" w:eastAsia="맑은 고딕" w:hAnsi="맑은 고딕"/>
          <w:b/>
          <w:bCs/>
          <w:color w:val="5A5A5A"/>
          <w:sz w:val="20"/>
          <w:szCs w:val="20"/>
        </w:rPr>
        <w:t xml:space="preserve">5.9.3 역할 분리 — 본 문서에서 AI의 역할을 정의하는 유일한 절</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AI가 담당하는 것은 </w:t>
      </w:r>
      <w:r>
        <w:rPr>
          <w:rFonts w:ascii="맑은 고딕" w:cs="맑은 고딕" w:eastAsia="맑은 고딕" w:hAnsi="맑은 고딕"/>
          <w:b/>
          <w:bCs/>
          <w:i w:val="false"/>
          <w:iCs w:val="false"/>
          <w:color w:val="1A1A1A"/>
          <w:sz w:val="20"/>
          <w:szCs w:val="20"/>
        </w:rPr>
        <w:t xml:space="preserve">실행의 가속</w:t>
      </w:r>
      <w:r>
        <w:rPr>
          <w:rFonts w:ascii="맑은 고딕" w:cs="맑은 고딕" w:eastAsia="맑은 고딕" w:hAnsi="맑은 고딕"/>
          <w:b w:val="false"/>
          <w:bCs w:val="false"/>
          <w:i w:val="false"/>
          <w:iCs w:val="false"/>
          <w:color w:val="1A1A1A"/>
          <w:sz w:val="20"/>
          <w:szCs w:val="20"/>
        </w:rPr>
        <w:t xml:space="preserve">입니다. 수백 개 지표의 수집·정규화, 문서 검색과 구조화, 이상 신호 탐색, 초안 생성이 그 범위입니다. 방법론 적용의 타당성, 결과의 해석, 표현의 근거 적합성은 사람이 판단합니다.</w:t>
      </w:r>
    </w:p>
    <w:p>
      <w:pPr>
        <w:keepNext/>
        <w:spacing w:after="90" w:before="220"/>
      </w:pPr>
      <w:r>
        <w:rPr>
          <w:rFonts w:ascii="맑은 고딕" w:cs="맑은 고딕" w:eastAsia="맑은 고딕" w:hAnsi="맑은 고딕"/>
          <w:b/>
          <w:bCs/>
          <w:color w:val="1F3864"/>
          <w:sz w:val="18"/>
          <w:szCs w:val="18"/>
        </w:rPr>
        <w:t xml:space="preserve">[그림 5-2] 분석 처리 6단계와 책임 주체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① 수집          ② 정규화         ③ 분석           ④ 교차검증</w:t>
            </w:r>
          </w:p>
          <w:p>
            <w:pPr>
              <w:spacing w:after="0" w:before="0" w:line="240"/>
              <w:jc w:val="left"/>
            </w:pPr>
            <w:r>
              <w:rPr>
                <w:rFonts w:ascii="굴림체" w:cs="굴림체" w:eastAsia="굴림체" w:hAnsi="굴림체"/>
                <w:color w:val="1A1A1A"/>
                <w:sz w:val="16"/>
                <w:szCs w:val="16"/>
              </w:rPr>
              <w:t xml:space="preserve">공식·허가 데이터 → 기준일·공간·단위 → 방법론 엔진 적용 → 반대지표·원문 대조</w:t>
            </w:r>
          </w:p>
          <w:p>
            <w:pPr>
              <w:spacing w:after="0" w:before="0" w:line="240"/>
              <w:jc w:val="left"/>
            </w:pPr>
            <w:r>
              <w:rPr>
                <w:rFonts w:ascii="굴림체" w:cs="굴림체" w:eastAsia="굴림체" w:hAnsi="굴림체"/>
                <w:color w:val="1A1A1A"/>
                <w:sz w:val="16"/>
                <w:szCs w:val="16"/>
              </w:rPr>
              <w:t xml:space="preserve">     [AI]            [AI]           [AI + 분석가]      [AI + 분석가]</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⑥ 현장 승인        ⑤ 사람 검수</w:t>
            </w:r>
          </w:p>
          <w:p>
            <w:pPr>
              <w:spacing w:after="0" w:before="0" w:line="240"/>
              <w:jc w:val="left"/>
            </w:pPr>
            <w:r>
              <w:rPr>
                <w:rFonts w:ascii="굴림체" w:cs="굴림체" w:eastAsia="굴림체" w:hAnsi="굴림체"/>
                <w:color w:val="1A1A1A"/>
                <w:sz w:val="16"/>
                <w:szCs w:val="16"/>
              </w:rPr>
              <w:t xml:space="preserve">                              판매 주장 확정   ←  산식·표현·근거 검증</w:t>
            </w:r>
          </w:p>
          <w:p>
            <w:pPr>
              <w:spacing w:after="0" w:before="0" w:line="240"/>
              <w:jc w:val="left"/>
            </w:pPr>
            <w:r>
              <w:rPr>
                <w:rFonts w:ascii="굴림체" w:cs="굴림체" w:eastAsia="굴림체" w:hAnsi="굴림체"/>
                <w:color w:val="1A1A1A"/>
                <w:sz w:val="16"/>
                <w:szCs w:val="16"/>
              </w:rPr>
              <w:t xml:space="preserve">                                [시행사]            [분석가]</w:t>
            </w:r>
          </w:p>
        </w:tc>
      </w:tr>
    </w:tbl>
    <w:p>
      <w:pPr>
        <w:spacing w:after="160" w:before="0"/>
      </w:pPr>
    </w:p>
    <w:p>
      <w:pPr>
        <w:keepNext/>
        <w:spacing w:after="90" w:before="220"/>
      </w:pPr>
      <w:r>
        <w:rPr>
          <w:rFonts w:ascii="맑은 고딕" w:cs="맑은 고딕" w:eastAsia="맑은 고딕" w:hAnsi="맑은 고딕"/>
          <w:b/>
          <w:bCs/>
          <w:color w:val="1F3864"/>
          <w:sz w:val="18"/>
          <w:szCs w:val="18"/>
        </w:rPr>
        <w:t xml:space="preserve">[표 5-22] 주체별 담당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6324"/>
        <w:gridCol w:w="216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주체</w:t>
            </w:r>
          </w:p>
        </w:tc>
        <w:tc>
          <w:tcPr>
            <w:tcW w:type="dxa" w:w="6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w:t>
            </w:r>
          </w:p>
        </w:tc>
        <w:tc>
          <w:tcPr>
            <w:tcW w:type="dxa" w:w="216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담당하지 않는 것</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w:t>
            </w:r>
          </w:p>
        </w:tc>
        <w:tc>
          <w:tcPr>
            <w:tcW w:type="dxa" w:w="6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구조화·비교·이상신호 탐색, 문서 검색, 초안 생성</w:t>
            </w:r>
          </w:p>
        </w:tc>
        <w:tc>
          <w:tcPr>
            <w:tcW w:type="dxa" w:w="216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판단, 표현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분석가</w:t>
            </w:r>
          </w:p>
        </w:tc>
        <w:tc>
          <w:tcPr>
            <w:tcW w:type="dxa" w:w="6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방법론 적용의 타당성, 공식 원문·산식·비교대상·표현 검수</w:t>
            </w:r>
          </w:p>
        </w:tc>
        <w:tc>
          <w:tcPr>
            <w:tcW w:type="dxa" w:w="216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 결정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w:t>
            </w:r>
          </w:p>
        </w:tc>
        <w:tc>
          <w:tcPr>
            <w:tcW w:type="dxa" w:w="6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 제공, 광고 표현 최종 승인</w:t>
            </w:r>
          </w:p>
        </w:tc>
        <w:tc>
          <w:tcPr>
            <w:tcW w:type="dxa" w:w="216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책임 원칙.</w:t>
            </w:r>
            <w:r>
              <w:rPr>
                <w:rFonts w:ascii="맑은 고딕" w:cs="맑은 고딕" w:eastAsia="맑은 고딕" w:hAnsi="맑은 고딕"/>
                <w:color w:val="1A1A1A"/>
                <w:sz w:val="19"/>
                <w:szCs w:val="19"/>
              </w:rPr>
              <w:t xml:space="preserve"> AI가 생성한 문장과 수치는 자동으로 광고에 게시되지 않습니다. 분석가와 승인권자가 근거·표현·개인정보를 검토한 뒤 사용합니다.</w:t>
            </w:r>
          </w:p>
        </w:tc>
      </w:tr>
    </w:tbl>
    <w:p>
      <w:pPr>
        <w:spacing w:after="18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분석의 품질은 알고리즘이 아니라 방법론의 규율에서 나옵니다.</w:t>
      </w:r>
    </w:p>
    <w:p>
      <w:pPr>
        <w:pStyle w:val="Heading2"/>
        <w:keepNext/>
        <w:spacing w:after="140" w:before="300"/>
      </w:pPr>
      <w:r>
        <w:rPr>
          <w:rFonts w:ascii="맑은 고딕" w:cs="맑은 고딕" w:eastAsia="맑은 고딕" w:hAnsi="맑은 고딕"/>
          <w:b/>
          <w:bCs/>
          <w:color w:val="1A1A1A"/>
          <w:sz w:val="23"/>
          <w:szCs w:val="23"/>
        </w:rPr>
        <w:t xml:space="preserve">5.10 데이터 커버리지의 사전 공개와 분석 중단 조건</w:t>
      </w:r>
    </w:p>
    <w:p>
      <w:pPr>
        <w:pStyle w:val="Heading3"/>
        <w:keepNext/>
        <w:spacing w:after="110" w:before="240"/>
      </w:pPr>
      <w:r>
        <w:rPr>
          <w:rFonts w:ascii="맑은 고딕" w:cs="맑은 고딕" w:eastAsia="맑은 고딕" w:hAnsi="맑은 고딕"/>
          <w:b/>
          <w:bCs/>
          <w:color w:val="5A5A5A"/>
          <w:sz w:val="20"/>
          <w:szCs w:val="20"/>
        </w:rPr>
        <w:t xml:space="preserve">5.10.1 커버리지표의 사전 제출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현장에서 15개 레이어 전부를 같은 수준으로 분석할 수 있는 것은 아닙니다. 당사는 이 한계를 계약 후에 드러내지 않고 </w:t>
      </w:r>
      <w:r>
        <w:rPr>
          <w:rFonts w:ascii="맑은 고딕" w:cs="맑은 고딕" w:eastAsia="맑은 고딕" w:hAnsi="맑은 고딕"/>
          <w:b/>
          <w:bCs/>
          <w:i w:val="false"/>
          <w:iCs w:val="false"/>
          <w:color w:val="1A1A1A"/>
          <w:sz w:val="20"/>
          <w:szCs w:val="20"/>
        </w:rPr>
        <w:t xml:space="preserve">계약 전에 커버리지표로 먼저 제출합니다.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레이어·지표별로 "확보 가능 · 조건부 · 미확보 · 대체 가능"을 판정하며(세부 기준은 부록 A), 미확보 항목은 분석 범위를 재설계하거나 해당 판매 주장을 제외합니다. 민간 데이터(모바일 유동인구, 익명 카드소비, 민간 매물)는 제휴·라이선스·비용 확인이 선행되는 별도 협의 대상임을 처음부터 명시합니다.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커버리지표는 손으로 작성하지 않습니다.</w:t>
      </w:r>
      <w:r>
        <w:rPr>
          <w:rFonts w:ascii="맑은 고딕" w:cs="맑은 고딕" w:eastAsia="맑은 고딕" w:hAnsi="맑은 고딕"/>
          <w:b w:val="false"/>
          <w:bCs w:val="false"/>
          <w:i w:val="false"/>
          <w:iCs w:val="false"/>
          <w:color w:val="1A1A1A"/>
          <w:sz w:val="20"/>
          <w:szCs w:val="20"/>
        </w:rPr>
        <w:t xml:space="preserve"> 실제 수집 상태로부터 자동 생성되어, 어떤 레이어가 어떤 사유로 어떤 판정을 받았는지가 실행 결과와 항상 일치합니다. 제안 단계에서 유리하게 적어 두고 운영 단계에서 달라지는 일이 구조적으로 발생하지 않습니다. 현재 구현 기준으로 15개 레이어 중 </w:t>
      </w:r>
      <w:r>
        <w:rPr>
          <w:rFonts w:ascii="맑은 고딕" w:cs="맑은 고딕" w:eastAsia="맑은 고딕" w:hAnsi="맑은 고딕"/>
          <w:b/>
          <w:bCs/>
          <w:i w:val="false"/>
          <w:iCs w:val="false"/>
          <w:color w:val="1A1A1A"/>
          <w:sz w:val="20"/>
          <w:szCs w:val="20"/>
        </w:rPr>
        <w:t xml:space="preserve">13개가 연동</w:t>
      </w:r>
      <w:r>
        <w:rPr>
          <w:rFonts w:ascii="맑은 고딕" w:cs="맑은 고딕" w:eastAsia="맑은 고딕" w:hAnsi="맑은 고딕"/>
          <w:b w:val="false"/>
          <w:bCs w:val="false"/>
          <w:i w:val="false"/>
          <w:iCs w:val="false"/>
          <w:color w:val="1A1A1A"/>
          <w:sz w:val="20"/>
          <w:szCs w:val="20"/>
        </w:rPr>
        <w:t xml:space="preserve">되어 있으며, 미연동 2개(L6 유동인구·L10 카드소비)는 민간 라이선스 협의 대상입니다(상세는 부록 F).</w:t>
      </w:r>
    </w:p>
    <w:p>
      <w:pPr>
        <w:pStyle w:val="Heading3"/>
        <w:keepNext/>
        <w:spacing w:after="110" w:before="240"/>
      </w:pPr>
      <w:r>
        <w:rPr>
          <w:rFonts w:ascii="맑은 고딕" w:cs="맑은 고딕" w:eastAsia="맑은 고딕" w:hAnsi="맑은 고딕"/>
          <w:b/>
          <w:bCs/>
          <w:color w:val="5A5A5A"/>
          <w:sz w:val="20"/>
          <w:szCs w:val="20"/>
        </w:rPr>
        <w:t xml:space="preserve">5.10.2 분석 중단 조건</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다음의 치명적 결함이 확인되면 해당 분석을 수치로 제시하지 않고, 분석 중단·대체 자료·제한 판정 중 하나를 명시적으로 선택합니다.</w:t>
      </w:r>
    </w:p>
    <w:p>
      <w:pPr>
        <w:keepNext/>
        <w:spacing w:after="90" w:before="220"/>
      </w:pPr>
      <w:r>
        <w:rPr>
          <w:rFonts w:ascii="맑은 고딕" w:cs="맑은 고딕" w:eastAsia="맑은 고딕" w:hAnsi="맑은 고딕"/>
          <w:b/>
          <w:bCs/>
          <w:color w:val="1F3864"/>
          <w:sz w:val="18"/>
          <w:szCs w:val="18"/>
        </w:rPr>
        <w:t xml:space="preserve">[표 5-23] 치명적 결함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결함 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 미확정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위치·경계·사업 대상이 확정되지 않은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시점 오류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부재, 또는 분석 시점 이후 정보가 과거 예측에 혼입된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오용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시·구 통계를 생활권 값으로 대체하면서 오차를 표시하지 않은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 불가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원문·출처·계산을 재현할 수 없거나 라이선스·재배포 권한이 없는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 결함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 과소, 결측·중복·좌표 오류가 결과의 방향을 바꾸는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집계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 개발 프로젝트를 중복 집계했거나 검토 단계를 확정처럼 취급한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결함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개인정보가 적법한 동의·위탁·보관 기준 없이 결합된 상태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 불가"를 판정하는 능력은 분석 역량의 일부입니다. 모든 현장에서 모든 항목을 분석할 수 있다고 제시하는 제안은, 그 신뢰성을 별도로 검토할 필요가 있습니다.</w:t>
      </w:r>
    </w:p>
    <w:p>
      <w:pPr>
        <w:keepNext/>
        <w:spacing w:after="90" w:before="220"/>
      </w:pPr>
      <w:r>
        <w:rPr>
          <w:rFonts w:ascii="맑은 고딕" w:cs="맑은 고딕" w:eastAsia="맑은 고딕" w:hAnsi="맑은 고딕"/>
          <w:b/>
          <w:bCs/>
          <w:color w:val="1F3864"/>
          <w:sz w:val="18"/>
          <w:szCs w:val="18"/>
        </w:rPr>
        <w:t xml:space="preserve">[표 5-23-1] 중단·미산출의 세 단계 구분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규율은 선언이 아니라 실행 시점에 강제됩니다. 결함의 성격에 따라 대응이 달라집니다.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65"/>
        <w:gridCol w:w="4223"/>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42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조건 (예시)</w:t>
            </w:r>
          </w:p>
        </w:tc>
        <w:tc>
          <w:tcPr>
            <w:tcW w:type="dxa" w:w="422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중단</w:t>
            </w:r>
          </w:p>
        </w:tc>
        <w:tc>
          <w:tcPr>
            <w:tcW w:type="dxa" w:w="42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좌표 미확정, 타입별 세대수 합 불일치, 분양가 단위 오류, 기준일 이후 거래·계약 혼입, 정제 후 비교 거래 0건</w:t>
            </w:r>
          </w:p>
        </w:tc>
        <w:tc>
          <w:tcPr>
            <w:tcW w:type="dxa" w:w="42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리포트를 생성하지 않고 사유와 조치 방향을 반환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미산출</w:t>
            </w:r>
          </w:p>
        </w:tc>
        <w:tc>
          <w:tcPr>
            <w:tcW w:type="dxa" w:w="42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지표의 표본이 최소 기준 미달 (전세가율, 구매 가능 가구 비율, 청약 전망 등)</w:t>
            </w:r>
          </w:p>
        </w:tc>
        <w:tc>
          <w:tcPr>
            <w:tcW w:type="dxa" w:w="422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리포트는 생성하되 해당 수치를 내지 않고, 판정 계산에서도 제외한 뒤 사유를 근거원장에 등재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정밀도 하향</w:t>
            </w:r>
          </w:p>
        </w:tc>
        <w:tc>
          <w:tcPr>
            <w:tcW w:type="dxa" w:w="42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타입·층 구간 표본이 최소 기준 미달</w:t>
            </w:r>
          </w:p>
        </w:tc>
        <w:tc>
          <w:tcPr>
            <w:tcW w:type="dxa" w:w="42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상위 집계로 롤업하고 롤업 사실을 표기 (5.5)</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기준일 이후 정보의 혼입은 매매·전월세 양쪽에 동일하게 적용됩니다. 전세가율이 가격 판정에 직접 들어가는 이상, 전월세 계약에도 매매와 같은 규율이 적용되어야 하기 때문입니다.</w:t>
      </w:r>
    </w:p>
    <w:p>
      <w:pPr>
        <w:pStyle w:val="Heading2"/>
        <w:keepNext/>
        <w:spacing w:after="140" w:before="300"/>
      </w:pPr>
      <w:r>
        <w:rPr>
          <w:rFonts w:ascii="맑은 고딕" w:cs="맑은 고딕" w:eastAsia="맑은 고딕" w:hAnsi="맑은 고딕"/>
          <w:b/>
          <w:bCs/>
          <w:color w:val="1A1A1A"/>
          <w:sz w:val="23"/>
          <w:szCs w:val="23"/>
        </w:rPr>
        <w:t xml:space="preserve">5.11 가치상승 실행과제와 살아 있는 리포트</w:t>
      </w:r>
    </w:p>
    <w:p>
      <w:pPr>
        <w:pStyle w:val="Heading3"/>
        <w:keepNext/>
        <w:spacing w:after="110" w:before="240"/>
      </w:pPr>
      <w:r>
        <w:rPr>
          <w:rFonts w:ascii="맑은 고딕" w:cs="맑은 고딕" w:eastAsia="맑은 고딕" w:hAnsi="맑은 고딕"/>
          <w:b/>
          <w:bCs/>
          <w:color w:val="5A5A5A"/>
          <w:sz w:val="20"/>
          <w:szCs w:val="20"/>
        </w:rPr>
        <w:t xml:space="preserve">5.11.1 현장이 통제 가능한 개선 과제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외부 호재를 기다리는 것만으로는 현장가치를 통제할 수 없습니다. 분석 이후, 시행사와 현장이 직접 개선할 수 있는 과제를 통제 가능성 기준으로 분류하여 제안합니다.</w:t>
      </w:r>
    </w:p>
    <w:p>
      <w:pPr>
        <w:keepNext/>
        <w:spacing w:after="90" w:before="220"/>
      </w:pPr>
      <w:r>
        <w:rPr>
          <w:rFonts w:ascii="맑은 고딕" w:cs="맑은 고딕" w:eastAsia="맑은 고딕" w:hAnsi="맑은 고딕"/>
          <w:b/>
          <w:bCs/>
          <w:color w:val="1F3864"/>
          <w:sz w:val="18"/>
          <w:szCs w:val="18"/>
        </w:rPr>
        <w:t xml:space="preserve">[표 5-24] 가치상승 실행과제 분류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6470"/>
        <w:gridCol w:w="1452"/>
      </w:tblGrid>
      <w:tr>
        <w:trPr>
          <w:cantSplit/>
          <w:tblHeader/>
        </w:trPr>
        <w:tc>
          <w:tcPr>
            <w:tcW w:type="dxa" w:w="17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64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과제 예시</w:t>
            </w:r>
          </w:p>
        </w:tc>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통제력</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즉시 개선</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구조, 옵션 구성, 상품 설명, 정보 공개 방식</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높음</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 개선</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주차·커뮤니티·조경·에너지·평면</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높음</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접근성 개선</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셔틀, 버스정류장, 보행 연결, 진출입 동선</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중간</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생활편의 유치</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어린이집·의료·상업·문화시설</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중간</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공공협의</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도로·학교·공원·교통 개선</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중저</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장기 계획</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철도·광역도로·도시계획 변경</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낮음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우선순위는 예상 가치 개선, 통제 가능성, 실행 가능성, 비용과 기간을 함께 평가하여 결정합니다.</w:t>
      </w:r>
    </w:p>
    <w:p>
      <w:pPr>
        <w:pStyle w:val="Heading3"/>
        <w:keepNext/>
        <w:spacing w:after="110" w:before="240"/>
      </w:pPr>
      <w:r>
        <w:rPr>
          <w:rFonts w:ascii="맑은 고딕" w:cs="맑은 고딕" w:eastAsia="맑은 고딕" w:hAnsi="맑은 고딕"/>
          <w:b/>
          <w:bCs/>
          <w:color w:val="5A5A5A"/>
          <w:sz w:val="20"/>
          <w:szCs w:val="20"/>
        </w:rPr>
        <w:t xml:space="preserve">5.11.2 살아 있는 리포트 — 조기경보 체계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교통과 도시계획은 지속적으로 변동하므로, 분석을 일회성 PDF로 종료하지 않습니다. 계약된 모니터링 범위 내에서 변동 신호를 조기경보 항목으로 정의하여 추적하며, 주간 상시 모니터링(12.4)에 연결합니다.</w:t>
      </w:r>
    </w:p>
    <w:p>
      <w:pPr>
        <w:keepNext/>
        <w:spacing w:after="90" w:before="220"/>
      </w:pPr>
      <w:r>
        <w:rPr>
          <w:rFonts w:ascii="맑은 고딕" w:cs="맑은 고딕" w:eastAsia="맑은 고딕" w:hAnsi="맑은 고딕"/>
          <w:b/>
          <w:bCs/>
          <w:color w:val="1F3864"/>
          <w:sz w:val="18"/>
          <w:szCs w:val="18"/>
        </w:rPr>
        <w:t xml:space="preserve">[표 5-25] 조기경보 추적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6141"/>
        <w:gridCol w:w="234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신호 유형</w:t>
            </w:r>
          </w:p>
        </w:tc>
        <w:tc>
          <w:tcPr>
            <w:tcW w:type="dxa" w:w="61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추적 항목</w:t>
            </w:r>
          </w:p>
        </w:tc>
        <w:tc>
          <w:tcPr>
            <w:tcW w:type="dxa" w:w="234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변경 시 갱신 대상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 변동</w:t>
            </w:r>
          </w:p>
        </w:tc>
        <w:tc>
          <w:tcPr>
            <w:tcW w:type="dxa" w:w="61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신규 고시, 계획 변경, 예산 편성·삭감, 입찰·낙찰, 보상, 환경평가, 착공·공정, 준공·개통, 지연·취소</w:t>
            </w:r>
          </w:p>
        </w:tc>
        <w:tc>
          <w:tcPr>
            <w:tcW w:type="dxa" w:w="234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판정, 시나리오, 촉매카드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신호 변동</w:t>
            </w:r>
          </w:p>
        </w:tc>
        <w:tc>
          <w:tcPr>
            <w:tcW w:type="dxa" w:w="61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 급감, 취소 거래 증가, 전세가 하락, 미분양 증가, 매물량 급증, 호가-실거래 갭 확대</w:t>
            </w:r>
          </w:p>
        </w:tc>
        <w:tc>
          <w:tcPr>
            <w:tcW w:type="dxa" w:w="234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판정, 환금성 평가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신호 변동</w:t>
            </w:r>
          </w:p>
        </w:tc>
        <w:tc>
          <w:tcPr>
            <w:tcW w:type="dxa" w:w="61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분양 개시, 인허가·착공 물량 증가</w:t>
            </w:r>
          </w:p>
        </w:tc>
        <w:tc>
          <w:tcPr>
            <w:tcW w:type="dxa" w:w="234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 판매 시한 판단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유효성</w:t>
            </w:r>
          </w:p>
        </w:tc>
        <w:tc>
          <w:tcPr>
            <w:tcW w:type="dxa" w:w="61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상기 변동이 기존 광고 문구의 근거를 훼손하는지 여부</w:t>
            </w:r>
          </w:p>
        </w:tc>
        <w:tc>
          <w:tcPr>
            <w:tcW w:type="dxa" w:w="234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게시 중인 광고 문구의 유효성 재검토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유리한 변화만 반영하는 것이 아니라 예산 삭감, 일정 지연, 노선 제외, 공급 증가도 함께 반영합니다. 불리한 변화를 반영하지 않은 광고는 상담·계약 단계에서 신뢰 문제로 되돌아오기 때문입니다.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경쟁 현장 모니터링.</w:t>
      </w:r>
      <w:r>
        <w:rPr>
          <w:rFonts w:ascii="맑은 고딕" w:cs="맑은 고딕" w:eastAsia="맑은 고딕" w:hAnsi="맑은 고딕"/>
          <w:b w:val="false"/>
          <w:bCs w:val="false"/>
          <w:i w:val="false"/>
          <w:iCs w:val="false"/>
          <w:color w:val="1A1A1A"/>
          <w:sz w:val="20"/>
          <w:szCs w:val="20"/>
        </w:rPr>
        <w:t xml:space="preserve"> 경쟁 현장의 분양가·혜택·잔여 세대는 공개 API가 없어 현장 담당자의 주기적 확인에 의존합니다. 수기 수집이라는 이유로 관리가 느슨해지지 않도록, 회차별 스냅숏을 기록하고 변화 감지를 규칙화합니다 — 분양가 2% 이상 변동, 혜택 추가·축소, 잔여 세대 20% 이상 증감이 확인되면 조기경보로 승격되며, 각 신호마다 </w:t>
      </w:r>
      <w:r>
        <w:rPr>
          <w:rFonts w:ascii="맑은 고딕" w:cs="맑은 고딕" w:eastAsia="맑은 고딕" w:hAnsi="맑은 고딕"/>
          <w:b/>
          <w:bCs/>
          <w:i w:val="false"/>
          <w:iCs w:val="false"/>
          <w:color w:val="1A1A1A"/>
          <w:sz w:val="20"/>
          <w:szCs w:val="20"/>
        </w:rPr>
        <w:t xml:space="preserve">어떤 판정을 갱신해야 하는지</w:t>
      </w:r>
      <w:r>
        <w:rPr>
          <w:rFonts w:ascii="맑은 고딕" w:cs="맑은 고딕" w:eastAsia="맑은 고딕" w:hAnsi="맑은 고딕"/>
          <w:b w:val="false"/>
          <w:bCs w:val="false"/>
          <w:i w:val="false"/>
          <w:iCs w:val="false"/>
          <w:color w:val="1A1A1A"/>
          <w:sz w:val="20"/>
          <w:szCs w:val="20"/>
        </w:rPr>
        <w:t xml:space="preserve">가 함께 지정됩니다. 마지막 수집으로부터 30일이 지나면 신선도 경고가 발생해 방치를 막습니다.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한 회차만 있으면 "변화 없음"이 아니라 </w:t>
      </w:r>
      <w:r>
        <w:rPr>
          <w:rFonts w:ascii="맑은 고딕" w:cs="맑은 고딕" w:eastAsia="맑은 고딕" w:hAnsi="맑은 고딕"/>
          <w:b/>
          <w:bCs/>
          <w:i w:val="false"/>
          <w:iCs w:val="false"/>
          <w:color w:val="1A1A1A"/>
          <w:sz w:val="20"/>
          <w:szCs w:val="20"/>
        </w:rPr>
        <w:t xml:space="preserve">"비교 불가"</w:t>
      </w:r>
      <w:r>
        <w:rPr>
          <w:rFonts w:ascii="맑은 고딕" w:cs="맑은 고딕" w:eastAsia="맑은 고딕" w:hAnsi="맑은 고딕"/>
          <w:b w:val="false"/>
          <w:bCs w:val="false"/>
          <w:i w:val="false"/>
          <w:iCs w:val="false"/>
          <w:color w:val="1A1A1A"/>
          <w:sz w:val="20"/>
          <w:szCs w:val="20"/>
        </w:rPr>
        <w:t xml:space="preserve">입니다. 회차 간 현장명이 일치하지 않아 짝지어지지 않는 경우도 같은 방식으로 표기됩니다.</w:t>
      </w:r>
    </w:p>
    <w:p>
      <w:pPr>
        <w:pStyle w:val="Heading3"/>
        <w:keepNext/>
        <w:spacing w:after="110" w:before="240"/>
      </w:pPr>
      <w:r>
        <w:rPr>
          <w:rFonts w:ascii="맑은 고딕" w:cs="맑은 고딕" w:eastAsia="맑은 고딕" w:hAnsi="맑은 고딕"/>
          <w:b/>
          <w:bCs/>
          <w:color w:val="5A5A5A"/>
          <w:sz w:val="20"/>
          <w:szCs w:val="20"/>
        </w:rPr>
        <w:t xml:space="preserve">5.11.3 현장 반응 피드백 — 분석을 검증하는 역방향 경로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조기경보가 외부 데이터의 변동을 추적한다면, 현장 반응 피드백은 </w:t>
      </w:r>
      <w:r>
        <w:rPr>
          <w:rFonts w:ascii="맑은 고딕" w:cs="맑은 고딕" w:eastAsia="맑은 고딕" w:hAnsi="맑은 고딕"/>
          <w:b/>
          <w:bCs/>
          <w:i w:val="false"/>
          <w:iCs w:val="false"/>
          <w:color w:val="1A1A1A"/>
          <w:sz w:val="20"/>
          <w:szCs w:val="20"/>
        </w:rPr>
        <w:t xml:space="preserve">내부 데이터 — 상담·거절 기록 — 로 분석 자체를 검증</w:t>
      </w:r>
      <w:r>
        <w:rPr>
          <w:rFonts w:ascii="맑은 고딕" w:cs="맑은 고딕" w:eastAsia="맑은 고딕" w:hAnsi="맑은 고딕"/>
          <w:b w:val="false"/>
          <w:bCs w:val="false"/>
          <w:i w:val="false"/>
          <w:iCs w:val="false"/>
          <w:color w:val="1A1A1A"/>
          <w:sz w:val="20"/>
          <w:szCs w:val="20"/>
        </w:rPr>
        <w:t xml:space="preserve">하는 경로입니다. 이 데이터는 외부에서 구매할 수 없는 당사 운영체계 고유의 검증 자산입니다.</w:t>
      </w:r>
    </w:p>
    <w:p>
      <w:pPr>
        <w:keepNext/>
        <w:spacing w:after="90" w:before="220"/>
      </w:pPr>
      <w:r>
        <w:rPr>
          <w:rFonts w:ascii="맑은 고딕" w:cs="맑은 고딕" w:eastAsia="맑은 고딕" w:hAnsi="맑은 고딕"/>
          <w:b/>
          <w:bCs/>
          <w:color w:val="1F3864"/>
          <w:sz w:val="18"/>
          <w:szCs w:val="18"/>
        </w:rPr>
        <w:t xml:space="preserve">[표 5-26] 현장 반응과 분석 판정의 정합성 점검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1"/>
        <w:gridCol w:w="3329"/>
        <w:gridCol w:w="3768"/>
      </w:tblGrid>
      <w:tr>
        <w:trPr>
          <w:cantSplit/>
          <w:tblHeader/>
        </w:trPr>
        <w:tc>
          <w:tcPr>
            <w:tcW w:type="dxa" w:w="25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신호 (제9~10장에서 축적)</w:t>
            </w:r>
          </w:p>
        </w:tc>
        <w:tc>
          <w:tcPr>
            <w:tcW w:type="dxa" w:w="33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대상 분석 판정</w:t>
            </w:r>
          </w:p>
        </w:tc>
        <w:tc>
          <w:tcPr>
            <w:tcW w:type="dxa" w:w="376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어긋날 경우의 조치</w:t>
            </w:r>
          </w:p>
        </w:tc>
      </w:tr>
      <w:tr>
        <w:trPr>
          <w:cantSplit/>
          <w:tblHeader w:val="false"/>
        </w:trPr>
        <w:tc>
          <w:tcPr>
            <w:tcW w:type="dxa" w:w="2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거절 사유의 비중과 내용</w:t>
            </w:r>
          </w:p>
        </w:tc>
        <w:tc>
          <w:tcPr>
            <w:tcW w:type="dxa" w:w="33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① 현재 가격 위치</w:t>
            </w:r>
          </w:p>
        </w:tc>
        <w:tc>
          <w:tcPr>
            <w:tcW w:type="dxa" w:w="37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갭 재산정, 총취득원가·실부담 설명 점검</w:t>
            </w:r>
          </w:p>
        </w:tc>
      </w:tr>
      <w:tr>
        <w:trPr>
          <w:cantSplit/>
          <w:tblHeader w:val="false"/>
        </w:trPr>
        <w:tc>
          <w:tcPr>
            <w:tcW w:type="dxa" w:w="2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고객의 거주지·직장 분포</w:t>
            </w:r>
          </w:p>
        </w:tc>
        <w:tc>
          <w:tcPr>
            <w:tcW w:type="dxa" w:w="33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② 수요 지속성 (타깃 생활권 가설)</w:t>
            </w:r>
          </w:p>
        </w:tc>
        <w:tc>
          <w:tcPr>
            <w:tcW w:type="dxa" w:w="37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레이어 가중치·타깃 지역 재검토</w:t>
            </w:r>
          </w:p>
        </w:tc>
      </w:tr>
      <w:tr>
        <w:trPr>
          <w:cantSplit/>
          <w:tblHeader w:val="false"/>
        </w:trPr>
        <w:tc>
          <w:tcPr>
            <w:tcW w:type="dxa" w:w="2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이탈 사유</w:t>
            </w:r>
          </w:p>
        </w:tc>
        <w:tc>
          <w:tcPr>
            <w:tcW w:type="dxa" w:w="33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③ 공급·환금성 위험</w:t>
            </w:r>
          </w:p>
        </w:tc>
        <w:tc>
          <w:tcPr>
            <w:tcW w:type="dxa" w:w="37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물량 평가·비교 논리 갱신</w:t>
            </w:r>
          </w:p>
        </w:tc>
      </w:tr>
      <w:tr>
        <w:trPr>
          <w:cantSplit/>
          <w:tblHeader w:val="false"/>
        </w:trPr>
        <w:tc>
          <w:tcPr>
            <w:tcW w:type="dxa" w:w="2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관련 질문·불신 반응</w:t>
            </w:r>
          </w:p>
        </w:tc>
        <w:tc>
          <w:tcPr>
            <w:tcW w:type="dxa" w:w="33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④ 촉매 평가와 표현 등급</w:t>
            </w:r>
          </w:p>
        </w:tc>
        <w:tc>
          <w:tcPr>
            <w:tcW w:type="dxa" w:w="37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촉매카드 보강 또는 해당 문구 등급 하향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월 단위로 "모델 판정 대 현장 반응"의 정합성을 점검하고, 어긋나는 항목은 재검토 대상으로 지정합니다. 분석이 현장을 가르치기만 하는 것이 아니라 </w:t>
      </w:r>
      <w:r>
        <w:rPr>
          <w:rFonts w:ascii="맑은 고딕" w:cs="맑은 고딕" w:eastAsia="맑은 고딕" w:hAnsi="맑은 고딕"/>
          <w:b/>
          <w:bCs/>
          <w:i w:val="false"/>
          <w:iCs w:val="false"/>
          <w:color w:val="1A1A1A"/>
          <w:sz w:val="20"/>
          <w:szCs w:val="20"/>
        </w:rPr>
        <w:t xml:space="preserve">현장이 분석을 교정하는 양방향 구조</w:t>
      </w:r>
      <w:r>
        <w:rPr>
          <w:rFonts w:ascii="맑은 고딕" w:cs="맑은 고딕" w:eastAsia="맑은 고딕" w:hAnsi="맑은 고딕"/>
          <w:b w:val="false"/>
          <w:bCs w:val="false"/>
          <w:i w:val="false"/>
          <w:iCs w:val="false"/>
          <w:color w:val="1A1A1A"/>
          <w:sz w:val="20"/>
          <w:szCs w:val="20"/>
        </w:rPr>
        <w:t xml:space="preserve"> — 이것이 폐쇄형 학습(4.4)의 분석 측 구현입니다.</w:t>
      </w:r>
    </w:p>
    <w:p>
      <w:pPr>
        <w:pStyle w:val="Heading2"/>
        <w:keepNext/>
        <w:spacing w:after="140" w:before="300"/>
      </w:pPr>
      <w:r>
        <w:rPr>
          <w:rFonts w:ascii="맑은 고딕" w:cs="맑은 고딕" w:eastAsia="맑은 고딕" w:hAnsi="맑은 고딕"/>
          <w:b/>
          <w:bCs/>
          <w:color w:val="1A1A1A"/>
          <w:sz w:val="23"/>
          <w:szCs w:val="23"/>
        </w:rPr>
        <w:t xml:space="preserve">5.12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현장분석은 전통적 광고대행의 업무 흐름에는 존재하지 않는, 본 운영체계의 첫 번째 단계입니다.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장의 프레임워크는 </w:t>
      </w:r>
      <w:r>
        <w:rPr>
          <w:rFonts w:ascii="맑은 고딕" w:cs="맑은 고딕" w:eastAsia="맑은 고딕" w:hAnsi="맑은 고딕"/>
          <w:b/>
          <w:bCs/>
          <w:i w:val="false"/>
          <w:iCs w:val="false"/>
          <w:color w:val="1A1A1A"/>
          <w:sz w:val="20"/>
          <w:szCs w:val="20"/>
        </w:rPr>
        <w:t xml:space="preserve">"무엇을 근거로 팔 것인가"를 계약 전에 검증 가능한 형태로 확정</w:t>
      </w:r>
      <w:r>
        <w:rPr>
          <w:rFonts w:ascii="맑은 고딕" w:cs="맑은 고딕" w:eastAsia="맑은 고딕" w:hAnsi="맑은 고딕"/>
          <w:b w:val="false"/>
          <w:bCs w:val="false"/>
          <w:i w:val="false"/>
          <w:iCs w:val="false"/>
          <w:color w:val="1A1A1A"/>
          <w:sz w:val="20"/>
          <w:szCs w:val="20"/>
        </w:rPr>
        <w:t xml:space="preserve">합니다. 데이터 목록은 모방될 수 있으나, 독립 검증·반증·신뢰도 표시라는 방법론의 규율이 분석 품질을 결정합니다.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그리고 본 장에 기술된 것은 </w:t>
      </w:r>
      <w:r>
        <w:rPr>
          <w:rFonts w:ascii="맑은 고딕" w:cs="맑은 고딕" w:eastAsia="맑은 고딕" w:hAnsi="맑은 고딕"/>
          <w:b/>
          <w:bCs/>
          <w:i w:val="false"/>
          <w:iCs w:val="false"/>
          <w:color w:val="1A1A1A"/>
          <w:sz w:val="20"/>
          <w:szCs w:val="20"/>
        </w:rPr>
        <w:t xml:space="preserve">설계도가 아니라 이미 작동하는 소프트웨어</w:t>
      </w:r>
      <w:r>
        <w:rPr>
          <w:rFonts w:ascii="맑은 고딕" w:cs="맑은 고딕" w:eastAsia="맑은 고딕" w:hAnsi="맑은 고딕"/>
          <w:b w:val="false"/>
          <w:bCs w:val="false"/>
          <w:i w:val="false"/>
          <w:iCs w:val="false"/>
          <w:color w:val="1A1A1A"/>
          <w:sz w:val="20"/>
          <w:szCs w:val="20"/>
        </w:rPr>
        <w:t xml:space="preserve">입니다. 15개 레이어 중 13개가 연동되어 있고, 조정계수 교정·백테스트·근거원장·예측 이력 장부가 실행 가능한 명령으로 존재합니다. 무엇이 구현되었고 무엇이 아직 아닌지는 부록 F에 그대로 적었습니다 — 제안서가 스스로에게 적용하지 않는 규율을 분석에만 요구할 수는 없기 때문입니다.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분석 결과가 영업 언어로 전환되는 절차가 제6장의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제6장. 판매 논리 설계</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분석과 영업 사이에 판매 논리 설계 단계를 두어, 광고·정보 허브·상담이 동일한 근거로 말하게 합니다.</w:t>
      </w:r>
    </w:p>
    <w:p>
      <w:pPr>
        <w:keepNext/>
        <w:spacing w:after="90" w:before="220"/>
      </w:pPr>
      <w:r>
        <w:rPr>
          <w:rFonts w:ascii="맑은 고딕" w:cs="맑은 고딕" w:eastAsia="맑은 고딕" w:hAnsi="맑은 고딕"/>
          <w:b/>
          <w:bCs/>
          <w:color w:val="1F3864"/>
          <w:sz w:val="18"/>
          <w:szCs w:val="18"/>
        </w:rPr>
        <w:t xml:space="preserve">[표 6-1]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품질이 높아도 채널·상담원마다 설명이 다르면 상담 단계에서 신뢰가 훼손된다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결과를 영업 언어로 변환하고 통제하는 표준 단계가 존재하지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 메시지맵(6.2), 상담 조직용 근거팩(6.3), 문장별 표현 등급 지정(6.4)을 설계 산출물로 확정한다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채널 간 메시지 불일치가 차단되고, 고객의 반론이 설계 단계에서 먼저 검증된다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6.1 설계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 설계는 전통적 대행 구조에 존재하지 않는 단계입니다. 대행 구조에서는 분석 없이 광고 문구가 작성되므로, 문구는 혜택·입지·마감의 반복으로 수렴합니다(제3장). 본 체계에서는 광고 집행 전에 이 단계가 반드시 선행됩니다.</w:t>
      </w:r>
    </w:p>
    <w:p>
      <w:pPr>
        <w:keepNext/>
        <w:spacing w:after="90" w:before="220"/>
      </w:pPr>
      <w:r>
        <w:rPr>
          <w:rFonts w:ascii="맑은 고딕" w:cs="맑은 고딕" w:eastAsia="맑은 고딕" w:hAnsi="맑은 고딕"/>
          <w:b/>
          <w:bCs/>
          <w:color w:val="1F3864"/>
          <w:sz w:val="18"/>
          <w:szCs w:val="18"/>
        </w:rPr>
        <w:t xml:space="preserve">[표 6-2] 판매 논리의 세 가지 설계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 대응</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장점을 나열하지 않고, 고객이 실제로 묻는 질문에 근거와 비교로 답한다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반대근거 병기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유리한 근거만이 아니라 5.4.4에서 탐색된 반대근거를 함께 배치한다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통제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문장에 광고 사용 등급을 지정하여, 검증되지 않은 표현의 유입을 차단한다</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두 번째 원칙은 윤리 이전에 전환율의 문제입니다. 광고에서 과장된 기대를 형성한 고객은 상담 단계에서 이탈하고, 광고에서 검증된 기준을 확인한 고객은 상담을 신뢰 위에서 시작합니다. </w:t>
      </w:r>
      <w:r>
        <w:rPr>
          <w:rFonts w:ascii="맑은 고딕" w:cs="맑은 고딕" w:eastAsia="맑은 고딕" w:hAnsi="맑은 고딕"/>
          <w:b/>
          <w:bCs/>
          <w:i w:val="false"/>
          <w:iCs w:val="false"/>
          <w:color w:val="1A1A1A"/>
          <w:sz w:val="20"/>
          <w:szCs w:val="20"/>
        </w:rPr>
        <w:t xml:space="preserve">판매 논리가 상담 단계에서 유지되려면, 설계 단계에서 반론을 먼저 통과해야 합니다.</w:t>
      </w:r>
    </w:p>
    <w:p>
      <w:pPr>
        <w:pStyle w:val="Heading2"/>
        <w:keepNext/>
        <w:spacing w:after="140" w:before="300"/>
      </w:pPr>
      <w:r>
        <w:rPr>
          <w:rFonts w:ascii="맑은 고딕" w:cs="맑은 고딕" w:eastAsia="맑은 고딕" w:hAnsi="맑은 고딕"/>
          <w:b/>
          <w:bCs/>
          <w:color w:val="1A1A1A"/>
          <w:sz w:val="23"/>
          <w:szCs w:val="23"/>
        </w:rPr>
        <w:t xml:space="preserve">6.2 고객 질문 6축 메시지맵</w:t>
      </w:r>
    </w:p>
    <w:p>
      <w:pPr>
        <w:keepNext/>
        <w:spacing w:after="90" w:before="220"/>
      </w:pPr>
      <w:r>
        <w:rPr>
          <w:rFonts w:ascii="맑은 고딕" w:cs="맑은 고딕" w:eastAsia="맑은 고딕" w:hAnsi="맑은 고딕"/>
          <w:b/>
          <w:bCs/>
          <w:color w:val="1F3864"/>
          <w:sz w:val="18"/>
          <w:szCs w:val="18"/>
        </w:rPr>
        <w:t xml:space="preserve">[표 6-3] 고객 질문과 분석 근거의 대응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7"/>
        <w:gridCol w:w="3625"/>
        <w:gridCol w:w="3706"/>
      </w:tblGrid>
      <w:tr>
        <w:trPr>
          <w:cantSplit/>
          <w:tblHeader/>
        </w:trPr>
        <w:tc>
          <w:tcPr>
            <w:tcW w:type="dxa" w:w="230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질문</w:t>
            </w:r>
          </w:p>
        </w:tc>
        <w:tc>
          <w:tcPr>
            <w:tcW w:type="dxa" w:w="36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분석 근거 (제5장)</w:t>
            </w:r>
          </w:p>
        </w:tc>
        <w:tc>
          <w:tcPr>
            <w:tcW w:type="dxa" w:w="37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설득 방향</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분양가가 비싼 것 아닌가?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총취득원가·비교단지·품질조정 가격 (5.5)</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가격"이 아니라 "같은 조건"으로 비교</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 시점에도 수요가 있는가?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상주·근무·이동 수요, 청약·전세 (C1·C2·C3·C5)</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고객층이 왜 필요한지를 데이터로 설명</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공급이 많아지지 않는가?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입주예정·착공·미분양·확률조정 공급 (C6)</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위험과 흡수 조건을 함께 제시</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교통호재가 실제로 되는가?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단계·예산·계약·시간 변화 (5.6)</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추진 단계와 현장 효과를 분리하여 제시</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나중에 팔 수 있는가?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거래량·회전율·전세·매도 소요기간 (L11)</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환금성의 근거와 제약을 함께 설명</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왜 지금 검토해야 하는가?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분양조건·시장 위치·공급 일정·촉매 상태</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과장된 긴급성 대신 확인 가능한 판단 시점 제시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번째 축은 운영 중에 생성됩니다. </w:t>
      </w:r>
      <w:r>
        <w:rPr>
          <w:rFonts w:ascii="맑은 고딕" w:cs="맑은 고딕" w:eastAsia="맑은 고딕" w:hAnsi="맑은 고딕"/>
          <w:b/>
          <w:bCs/>
          <w:i w:val="false"/>
          <w:iCs w:val="false"/>
          <w:color w:val="1A1A1A"/>
          <w:sz w:val="20"/>
          <w:szCs w:val="20"/>
        </w:rPr>
        <w:t xml:space="preserve">상담 거절 사유</w:t>
      </w:r>
      <w:r>
        <w:rPr>
          <w:rFonts w:ascii="맑은 고딕" w:cs="맑은 고딕" w:eastAsia="맑은 고딕" w:hAnsi="맑은 고딕"/>
          <w:b w:val="false"/>
          <w:bCs w:val="false"/>
          <w:i w:val="false"/>
          <w:iCs w:val="false"/>
          <w:color w:val="1A1A1A"/>
          <w:sz w:val="20"/>
          <w:szCs w:val="20"/>
        </w:rPr>
        <w:t xml:space="preserve">입니다. "다른 고객은 무엇을 우려했는가"를 분석하여 FAQ·후속 메시지·리타기팅 논리로 전환합니다(제10장).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논리의 원천은 착수 시점의 분석만이 아니라, </w:t>
      </w:r>
      <w:r>
        <w:rPr>
          <w:rFonts w:ascii="맑은 고딕" w:cs="맑은 고딕" w:eastAsia="맑은 고딕" w:hAnsi="맑은 고딕"/>
          <w:b/>
          <w:bCs/>
          <w:i w:val="false"/>
          <w:iCs w:val="false"/>
          <w:color w:val="1A1A1A"/>
          <w:sz w:val="20"/>
          <w:szCs w:val="20"/>
        </w:rPr>
        <w:t xml:space="preserve">운영 중 축적되는 현장의 실제 반응</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6.3 상담 조직을 위한 산출물</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논리는 광고만이 아니라 상담 현장을 위해 설계됩니다.</w:t>
      </w:r>
    </w:p>
    <w:p>
      <w:pPr>
        <w:keepNext/>
        <w:spacing w:after="90" w:before="220"/>
      </w:pPr>
      <w:r>
        <w:rPr>
          <w:rFonts w:ascii="맑은 고딕" w:cs="맑은 고딕" w:eastAsia="맑은 고딕" w:hAnsi="맑은 고딕"/>
          <w:b/>
          <w:bCs/>
          <w:color w:val="1F3864"/>
          <w:sz w:val="18"/>
          <w:szCs w:val="18"/>
        </w:rPr>
        <w:t xml:space="preserve">[표 6-4] 영업 지원 산출물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3"/>
        <w:gridCol w:w="5817"/>
        <w:gridCol w:w="2258"/>
      </w:tblGrid>
      <w:tr>
        <w:trPr>
          <w:cantSplit/>
          <w:tblHeader/>
        </w:trPr>
        <w:tc>
          <w:tcPr>
            <w:tcW w:type="dxa" w:w="156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산출물</w:t>
            </w:r>
          </w:p>
        </w:tc>
        <w:tc>
          <w:tcPr>
            <w:tcW w:type="dxa" w:w="58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225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주체</w:t>
            </w:r>
          </w:p>
        </w:tc>
      </w:tr>
      <w:tr>
        <w:trPr>
          <w:cantSplit/>
          <w:tblHeader w:val="false"/>
        </w:trPr>
        <w:tc>
          <w:tcPr>
            <w:tcW w:type="dxa" w:w="15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고객용 요약 리포트</w:t>
            </w:r>
          </w:p>
        </w:tc>
        <w:tc>
          <w:tcPr>
            <w:tcW w:type="dxa" w:w="5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 결과를 고객이 이해할 수 있는 형태로 정리한 근거카드 모음</w:t>
            </w:r>
          </w:p>
        </w:tc>
        <w:tc>
          <w:tcPr>
            <w:tcW w:type="dxa" w:w="225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시 고객 제시</w:t>
            </w:r>
          </w:p>
        </w:tc>
      </w:tr>
      <w:tr>
        <w:trPr>
          <w:cantSplit/>
          <w:tblHeader w:val="false"/>
        </w:trPr>
        <w:tc>
          <w:tcPr>
            <w:tcW w:type="dxa" w:w="15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근거팩</w:t>
            </w:r>
          </w:p>
        </w:tc>
        <w:tc>
          <w:tcPr>
            <w:tcW w:type="dxa" w:w="5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 축별 표준 답변, 비교표, 근거 출처</w:t>
            </w:r>
          </w:p>
        </w:tc>
        <w:tc>
          <w:tcPr>
            <w:tcW w:type="dxa" w:w="225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상담원</w:t>
            </w:r>
          </w:p>
        </w:tc>
      </w:tr>
      <w:tr>
        <w:trPr>
          <w:cantSplit/>
          <w:tblHeader w:val="false"/>
        </w:trPr>
        <w:tc>
          <w:tcPr>
            <w:tcW w:type="dxa" w:w="15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대응 자료</w:t>
            </w:r>
          </w:p>
        </w:tc>
        <w:tc>
          <w:tcPr>
            <w:tcW w:type="dxa" w:w="5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빈출 거절 사유(가격·대출·가족 협의·경쟁 현장)별 사실 기반 대응 논리</w:t>
            </w:r>
          </w:p>
        </w:tc>
        <w:tc>
          <w:tcPr>
            <w:tcW w:type="dxa" w:w="225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상담원</w:t>
            </w:r>
          </w:p>
        </w:tc>
      </w:tr>
      <w:tr>
        <w:trPr>
          <w:cantSplit/>
          <w:tblHeader w:val="false"/>
        </w:trPr>
        <w:tc>
          <w:tcPr>
            <w:tcW w:type="dxa" w:w="15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w:t>
            </w:r>
          </w:p>
        </w:tc>
        <w:tc>
          <w:tcPr>
            <w:tcW w:type="dxa" w:w="5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유형·질문·근거·표현등급의 대응표</w:t>
            </w:r>
          </w:p>
        </w:tc>
        <w:tc>
          <w:tcPr>
            <w:tcW w:type="dxa" w:w="225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광고·허브·상담의 공통 기준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상담원마다 조건 안내가 다른 현장은 신뢰를 즉시 상실합니다. 분양조건과 표현의 단일 기준은 시행사 승인으로 확정되며, </w:t>
      </w:r>
      <w:r>
        <w:rPr>
          <w:rFonts w:ascii="맑은 고딕" w:cs="맑은 고딕" w:eastAsia="맑은 고딕" w:hAnsi="맑은 고딕"/>
          <w:b/>
          <w:bCs/>
          <w:i w:val="false"/>
          <w:iCs w:val="false"/>
          <w:color w:val="1A1A1A"/>
          <w:sz w:val="20"/>
          <w:szCs w:val="20"/>
        </w:rPr>
        <w:t xml:space="preserve">조건 변경 시 광고·정보 허브·상담자료가 동시에 갱신</w:t>
      </w:r>
      <w:r>
        <w:rPr>
          <w:rFonts w:ascii="맑은 고딕" w:cs="맑은 고딕" w:eastAsia="맑은 고딕" w:hAnsi="맑은 고딕"/>
          <w:b w:val="false"/>
          <w:bCs w:val="false"/>
          <w:i w:val="false"/>
          <w:iCs w:val="false"/>
          <w:color w:val="1A1A1A"/>
          <w:sz w:val="20"/>
          <w:szCs w:val="20"/>
        </w:rPr>
        <w:t xml:space="preserve">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생성 방식.</w:t>
      </w:r>
      <w:r>
        <w:rPr>
          <w:rFonts w:ascii="맑은 고딕" w:cs="맑은 고딕" w:eastAsia="맑은 고딕" w:hAnsi="맑은 고딕"/>
          <w:b w:val="false"/>
          <w:bCs w:val="false"/>
          <w:i w:val="false"/>
          <w:iCs w:val="false"/>
          <w:color w:val="1A1A1A"/>
          <w:sz w:val="20"/>
          <w:szCs w:val="20"/>
        </w:rPr>
        <w:t xml:space="preserve"> 위 산출물은 분석 결과에서 </w:t>
      </w:r>
      <w:r>
        <w:rPr>
          <w:rFonts w:ascii="맑은 고딕" w:cs="맑은 고딕" w:eastAsia="맑은 고딕" w:hAnsi="맑은 고딕"/>
          <w:b/>
          <w:bCs/>
          <w:i w:val="false"/>
          <w:iCs w:val="false"/>
          <w:color w:val="1A1A1A"/>
          <w:sz w:val="20"/>
          <w:szCs w:val="20"/>
        </w:rPr>
        <w:t xml:space="preserve">직접 생성</w:t>
      </w:r>
      <w:r>
        <w:rPr>
          <w:rFonts w:ascii="맑은 고딕" w:cs="맑은 고딕" w:eastAsia="맑은 고딕" w:hAnsi="맑은 고딕"/>
          <w:b w:val="false"/>
          <w:bCs w:val="false"/>
          <w:i w:val="false"/>
          <w:iCs w:val="false"/>
          <w:color w:val="1A1A1A"/>
          <w:sz w:val="20"/>
          <w:szCs w:val="20"/>
        </w:rPr>
        <w:t xml:space="preserve">됩니다. 사람이 리포트를 읽고 옮겨 적는 방식이 아니므로, 리포트의 수치가 갱신되면 상담 자료도 같은 근거로 함께 갱신되며 둘이 어긋날 경로가 없습니다. 생성된 모든 문장은 표현 린트(6.4)를 통과해야 하고, 차단된 문장은 산출물에 실리지 않습니다.</w:t>
      </w:r>
    </w:p>
    <w:p>
      <w:pPr>
        <w:keepNext/>
        <w:spacing w:after="90" w:before="220"/>
      </w:pPr>
      <w:r>
        <w:rPr>
          <w:rFonts w:ascii="맑은 고딕" w:cs="맑은 고딕" w:eastAsia="맑은 고딕" w:hAnsi="맑은 고딕"/>
          <w:b/>
          <w:bCs/>
          <w:color w:val="1F3864"/>
          <w:sz w:val="18"/>
          <w:szCs w:val="18"/>
        </w:rPr>
        <w:t xml:space="preserve">[표 6-4-1] 질문 축별 답변 생성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961"/>
        <w:gridCol w:w="352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축</w:t>
            </w:r>
          </w:p>
        </w:tc>
        <w:tc>
          <w:tcPr>
            <w:tcW w:type="dxa" w:w="496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답변이 생성되는 조건</w:t>
            </w:r>
          </w:p>
        </w:tc>
        <w:tc>
          <w:tcPr>
            <w:tcW w:type="dxa" w:w="35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조건 미충족 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Q1 분양가</w:t>
            </w:r>
          </w:p>
        </w:tc>
        <w:tc>
          <w:tcPr>
            <w:tcW w:type="dxa" w:w="4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밴드가 산출됨</w:t>
            </w:r>
          </w:p>
        </w:tc>
        <w:tc>
          <w:tcPr>
            <w:tcW w:type="dxa" w:w="35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표본 부족"</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Q2 수요</w:t>
            </w:r>
          </w:p>
        </w:tc>
        <w:tc>
          <w:tcPr>
            <w:tcW w:type="dxa" w:w="4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레이어 또는 실부담·청약 중 하나 이상 산출됨</w:t>
            </w:r>
          </w:p>
        </w:tc>
        <w:tc>
          <w:tcPr>
            <w:tcW w:type="dxa" w:w="35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레이어 미수집"</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Q3 공급</w:t>
            </w:r>
          </w:p>
        </w:tc>
        <w:tc>
          <w:tcPr>
            <w:tcW w:type="dxa" w:w="4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목록과 현장 세대수 입력됨</w:t>
            </w:r>
          </w:p>
        </w:tc>
        <w:tc>
          <w:tcPr>
            <w:tcW w:type="dxa" w:w="35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목록 미입력"</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Q4 호재</w:t>
            </w:r>
          </w:p>
        </w:tc>
        <w:tc>
          <w:tcPr>
            <w:tcW w:type="dxa" w:w="4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등록 계획 중 </w:t>
            </w:r>
            <w:r>
              <w:rPr>
                <w:rFonts w:ascii="맑은 고딕" w:cs="맑은 고딕" w:eastAsia="맑은 고딕" w:hAnsi="맑은 고딕"/>
                <w:b/>
                <w:bCs/>
                <w:color w:val="1A1A1A"/>
                <w:sz w:val="18"/>
                <w:szCs w:val="18"/>
              </w:rPr>
              <w:t xml:space="preserve">검토 단계를 넘은 것이 하나 이상</w:t>
            </w:r>
            <w:r>
              <w:rPr>
                <w:rFonts w:ascii="맑은 고딕" w:cs="맑은 고딕" w:eastAsia="맑은 고딕" w:hAnsi="맑은 고딕"/>
                <w:color w:val="1A1A1A"/>
                <w:sz w:val="18"/>
                <w:szCs w:val="18"/>
              </w:rPr>
              <w:t xml:space="preserve"> 존재</w:t>
            </w:r>
          </w:p>
        </w:tc>
        <w:tc>
          <w:tcPr>
            <w:tcW w:type="dxa" w:w="35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"모두 검토 단계로 확정적 언급 불가"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Q5 환금성</w:t>
            </w:r>
          </w:p>
        </w:tc>
        <w:tc>
          <w:tcPr>
            <w:tcW w:type="dxa" w:w="4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회전율 산출됨 (비교단지 세대수 필요)</w:t>
            </w:r>
          </w:p>
        </w:tc>
        <w:tc>
          <w:tcPr>
            <w:tcW w:type="dxa" w:w="35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"회전율 미산출"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Q6 시점</w:t>
            </w:r>
          </w:p>
        </w:tc>
        <w:tc>
          <w:tcPr>
            <w:tcW w:type="dxa" w:w="4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공급·계획·경보 중 하나 이상의 신호 존재</w:t>
            </w:r>
          </w:p>
        </w:tc>
        <w:tc>
          <w:tcPr>
            <w:tcW w:type="dxa" w:w="35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"판단 시점을 지지할 근거 없음"</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답하지 않는 것이 설계의 핵심입니다.</w:t>
      </w:r>
      <w:r>
        <w:rPr>
          <w:rFonts w:ascii="맑은 고딕" w:cs="맑은 고딕" w:eastAsia="맑은 고딕" w:hAnsi="맑은 고딕"/>
          <w:b w:val="false"/>
          <w:bCs w:val="false"/>
          <w:i w:val="false"/>
          <w:iCs w:val="false"/>
          <w:color w:val="1A1A1A"/>
          <w:sz w:val="20"/>
          <w:szCs w:val="20"/>
        </w:rPr>
        <w:t xml:space="preserve"> 근거가 산출되지 않은 축에서 그럴듯한 문장을 만들어 내면, 상담원은 근거 없는 말을 손에 쥔 채 고객을 만나게 됩니다. 그 축은 답변 대신 </w:t>
      </w:r>
      <w:r>
        <w:rPr>
          <w:rFonts w:ascii="맑은 고딕" w:cs="맑은 고딕" w:eastAsia="맑은 고딕" w:hAnsi="맑은 고딕"/>
          <w:b/>
          <w:bCs/>
          <w:i w:val="false"/>
          <w:iCs w:val="false"/>
          <w:color w:val="1A1A1A"/>
          <w:sz w:val="20"/>
          <w:szCs w:val="20"/>
        </w:rPr>
        <w:t xml:space="preserve">"확인 후 회신"</w:t>
      </w:r>
      <w:r>
        <w:rPr>
          <w:rFonts w:ascii="맑은 고딕" w:cs="맑은 고딕" w:eastAsia="맑은 고딕" w:hAnsi="맑은 고딕"/>
          <w:b w:val="false"/>
          <w:bCs w:val="false"/>
          <w:i w:val="false"/>
          <w:iCs w:val="false"/>
          <w:color w:val="1A1A1A"/>
          <w:sz w:val="20"/>
          <w:szCs w:val="20"/>
        </w:rPr>
        <w:t xml:space="preserve"> 원칙이 지정되며, 근거가 확보되면 재생성됩니다.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규율이 거절 대응에도 적용됩니다. 예컨대 가격 거절에 대한 대응 논리는 Q1의 근거에 기대므로, Q1이 답변 불가 상태라면 대응 문구도 "사실 기반 대응 불가 — 확인 후 회신"으로 낮춰집니다. 근거 없는 방어 논리를 상담원에게 주지 않기 위해서입니다.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근거가 있어도 단정할 수 없는 경우가 있습니다.</w:t>
      </w:r>
      <w:r>
        <w:rPr>
          <w:rFonts w:ascii="맑은 고딕" w:cs="맑은 고딕" w:eastAsia="맑은 고딕" w:hAnsi="맑은 고딕"/>
          <w:b w:val="false"/>
          <w:bCs w:val="false"/>
          <w:i w:val="false"/>
          <w:iCs w:val="false"/>
          <w:color w:val="1A1A1A"/>
          <w:sz w:val="20"/>
          <w:szCs w:val="20"/>
        </w:rPr>
        <w:t xml:space="preserve"> 강건성 검사(5.8.1)에서 해당 축의 판정이 가정 하나로 뒤집힌다고 확인되면, 답변은 생성되되 </w:t>
      </w:r>
      <w:r>
        <w:rPr>
          <w:rFonts w:ascii="맑은 고딕" w:cs="맑은 고딕" w:eastAsia="맑은 고딕" w:hAnsi="맑은 고딕"/>
          <w:b/>
          <w:bCs/>
          <w:i w:val="false"/>
          <w:iCs w:val="false"/>
          <w:color w:val="1A1A1A"/>
          <w:sz w:val="20"/>
          <w:szCs w:val="20"/>
        </w:rPr>
        <w:t xml:space="preserve">단정형 사용이 차단</w:t>
      </w:r>
      <w:r>
        <w:rPr>
          <w:rFonts w:ascii="맑은 고딕" w:cs="맑은 고딕" w:eastAsia="맑은 고딕" w:hAnsi="맑은 고딕"/>
          <w:b w:val="false"/>
          <w:bCs w:val="false"/>
          <w:i w:val="false"/>
          <w:iCs w:val="false"/>
          <w:color w:val="1A1A1A"/>
          <w:sz w:val="20"/>
          <w:szCs w:val="20"/>
        </w:rPr>
        <w:t xml:space="preserve">되고 "현재 가정 기준"이라는 조건이 병기됩니다. 상담 자료에는 어느 가정이 결론을 좌우하는지가 그대로 적힙니다 — 예: "① 가격 위치 판정은 연식 조정계수 가정이 바뀌면 방향이 뒤집힙니다. 확언 대신 조건과 함께 제시." 분석이 스스로 불확실하다고 밝힌 결론을 상담 조직이 확언으로 사용하는 것은, 근거 없는 문장을 쓰는 것과 같은 종류의 위험이기 때문입니다.</w:t>
      </w:r>
    </w:p>
    <w:p>
      <w:pPr>
        <w:pStyle w:val="Heading2"/>
        <w:keepNext/>
        <w:spacing w:after="140" w:before="300"/>
      </w:pPr>
      <w:r>
        <w:rPr>
          <w:rFonts w:ascii="맑은 고딕" w:cs="맑은 고딕" w:eastAsia="맑은 고딕" w:hAnsi="맑은 고딕"/>
          <w:b/>
          <w:bCs/>
          <w:color w:val="1A1A1A"/>
          <w:sz w:val="23"/>
          <w:szCs w:val="23"/>
        </w:rPr>
        <w:t xml:space="preserve">6.4 표현 통제와의 연결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메시지맵의 모든 문장에는 광고 사용 등급(사용 가능·조건부 사용·사용 금지)이 지정됩니다.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등급의 판정 기준과 검수 체크리스트는 제14장 14.5에서 단일 기준으로 정의하며, 광고 표현의 최종 승인권은 시행사가 보유합니다. 이로써 "영업 현장에서 무엇을 말해도 되는가"가 개인의 판단이 아닌 문서화된 기준이 되고, 검증되지 않은 문장이 광고와 상담에 유입되는 경로가 설계 단계에서 차단됩니다.</w:t>
      </w:r>
    </w:p>
    <w:p>
      <w:pPr>
        <w:pStyle w:val="Heading2"/>
        <w:keepNext/>
        <w:spacing w:after="140" w:before="300"/>
      </w:pPr>
      <w:r>
        <w:rPr>
          <w:rFonts w:ascii="맑은 고딕" w:cs="맑은 고딕" w:eastAsia="맑은 고딕" w:hAnsi="맑은 고딕"/>
          <w:b/>
          <w:bCs/>
          <w:color w:val="1A1A1A"/>
          <w:sz w:val="23"/>
          <w:szCs w:val="23"/>
        </w:rPr>
        <w:t xml:space="preserve">6.5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 설계는 분석(제5장)과 실행(제7~9장)을 연결하는 통제 지점입니다.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단계를 통과한 문장만 콘텐츠 제작과 상담에 사용되며, 운영 중 축적되는 거절 사유(제10장)가 이 단계로 환류되어 논리가 갱신됩니다. 확정된 판매 논리가 어떤 형태로 고객에게 전달되는지가 제7장의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제7장. 콘텐츠 전략</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콘텐츠는 혜택의 확대가 아니라 고객 질문의 해소를 기준으로 제작합니다.</w:t>
      </w:r>
    </w:p>
    <w:p>
      <w:pPr>
        <w:keepNext/>
        <w:spacing w:after="90" w:before="220"/>
      </w:pPr>
      <w:r>
        <w:rPr>
          <w:rFonts w:ascii="맑은 고딕" w:cs="맑은 고딕" w:eastAsia="맑은 고딕" w:hAnsi="맑은 고딕"/>
          <w:b/>
          <w:bCs/>
          <w:color w:val="1F3864"/>
          <w:sz w:val="18"/>
          <w:szCs w:val="18"/>
        </w:rPr>
        <w:t xml:space="preserve">[표 7-1]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이미지·이벤트 중심 콘텐츠는 검토 단계 고객의 질문에 답하지 못한다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콘텐츠가 분석·판매 논리와 분리되어 제작되기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 설계(7.1)와 GEO 현장 정보 허브(7.2)로 광고·리포트·상담이 동일한 근거를 참조하게 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 후 이탈이 감소하고, 채널 간 메시지 불일치와 설명 누락이 구조적으로 감소한다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7.1 질문형 콘텐츠 설계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제6장 메시지맵의 질문 축은 다음 콘텐츠 형식으로 전환됩니다. 질문과 분석 근거의 대응은 6.2를 기준으로 하며 여기서 반복하지 않습니다.</w:t>
      </w:r>
    </w:p>
    <w:p>
      <w:pPr>
        <w:keepNext/>
        <w:spacing w:after="90" w:before="220"/>
      </w:pPr>
      <w:r>
        <w:rPr>
          <w:rFonts w:ascii="맑은 고딕" w:cs="맑은 고딕" w:eastAsia="맑은 고딕" w:hAnsi="맑은 고딕"/>
          <w:b/>
          <w:bCs/>
          <w:color w:val="1F3864"/>
          <w:sz w:val="18"/>
          <w:szCs w:val="18"/>
        </w:rPr>
        <w:t xml:space="preserve">[표 7-2] 질문 축별 콘텐츠 형식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52"/>
        <w:gridCol w:w="5486"/>
      </w:tblGrid>
      <w:tr>
        <w:trPr>
          <w:cantSplit/>
          <w:tblHeader/>
        </w:trPr>
        <w:tc>
          <w:tcPr>
            <w:tcW w:type="dxa" w:w="4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질문 축 (6.2)</w:t>
            </w:r>
          </w:p>
        </w:tc>
        <w:tc>
          <w:tcPr>
            <w:tcW w:type="dxa" w:w="548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콘텐츠 형식</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적정성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비교형 광고 소재·리포트</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위험</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리스크 설명형 카드뉴스·영상</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개발호재 실현성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 검증형 콘텐츠 (성숙도 단계 표시)</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실수요 존재</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생활권·출퇴근 콘텐츠</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 데이터 기반 설명 자료</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거절사유 (운영 중 축적)</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FAQ·후속 메시지·리타기팅 소재</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7-3] 콘텐츠 제작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 진단리포트 요약본, 고객용 근거카드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 미래가치, 위험요인, 생활권 분석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현장·세대·커뮤니티·동선·생활편의 설명</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숏폼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30~60초 질문형 Shorts·Reels, 세로형 광고영상</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자료</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비교표, FAQ, 거절 대응 자료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갱신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정부계획·예산·공정 변경에 따른 콘텐츠 업데이트</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7.2 GEO 현장 정보 허브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정보 허브는 관심고객 등록만 받는 랜딩페이지가 아니라, 현장 정보를 주제별로 구조화한 </w:t>
      </w:r>
      <w:r>
        <w:rPr>
          <w:rFonts w:ascii="맑은 고딕" w:cs="맑은 고딕" w:eastAsia="맑은 고딕" w:hAnsi="맑은 고딕"/>
          <w:b/>
          <w:bCs/>
          <w:i w:val="false"/>
          <w:iCs w:val="false"/>
          <w:color w:val="1A1A1A"/>
          <w:sz w:val="20"/>
          <w:szCs w:val="20"/>
        </w:rPr>
        <w:t xml:space="preserve">검증형 정보 허브</w:t>
      </w:r>
      <w:r>
        <w:rPr>
          <w:rFonts w:ascii="맑은 고딕" w:cs="맑은 고딕" w:eastAsia="맑은 고딕" w:hAnsi="맑은 고딕"/>
          <w:b w:val="false"/>
          <w:bCs w:val="false"/>
          <w:i w:val="false"/>
          <w:iCs w:val="false"/>
          <w:color w:val="1A1A1A"/>
          <w:sz w:val="20"/>
          <w:szCs w:val="20"/>
        </w:rPr>
        <w:t xml:space="preserve">입니다.</w:t>
      </w:r>
    </w:p>
    <w:p>
      <w:pPr>
        <w:keepNext/>
        <w:spacing w:after="90" w:before="220"/>
      </w:pPr>
      <w:r>
        <w:rPr>
          <w:rFonts w:ascii="맑은 고딕" w:cs="맑은 고딕" w:eastAsia="맑은 고딕" w:hAnsi="맑은 고딕"/>
          <w:b/>
          <w:bCs/>
          <w:color w:val="1F3864"/>
          <w:sz w:val="18"/>
          <w:szCs w:val="18"/>
        </w:rPr>
        <w:t xml:space="preserve">[표 7-4] 정보 허브 표준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구성요소</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구조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현장·세대·가격·생활권·교통·공급·청약·개발계획·FAQ를 독립 주제로 구성</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표시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수치·주장별 기준일, 출처, 공간 범위, 계산 방식, 한계 표시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제목 체계, 요약, 표, 내부 링크, 구조화 데이터, 이미지 대체텍스트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장치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전화·상담 신청·방문 예약·리포트 조회·관심정보 선택·후속 메시지 연결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추적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경로·조회 주제·버튼 행동·상담 신청을 캠페인 및 고객 DB와 연결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분양조건·광고 표현·정부계획 변경 시 버전과 승인 기록 관리</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7-5] 정보 허브의 두 가지 전략적 기능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기능</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근거의 단일화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광고·리포트·상담이 동일한 근거 페이지를 참조하므로 메시지 불일치와 설명 누락이 구조적으로 감소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구조의 개선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검색엔진과 생성형 AI가 현장 정보를 이해·인용하기 쉬운 구조를 갖추어, 고객의 능동적 탐색 경로에서 정확한 정보로 발견되게 함</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유의사항: 생성형 AI의 인용·노출은 외부 플랫폼의 정책과 모델에 따라 결정되며, 당사는 이를 보장하지 않습니다. GEO는 "AI 추천을 보장하는 활동"이 아니라 정보의 구조·출처·접근성을 개선하는 활동입니다.</w:t>
      </w:r>
    </w:p>
    <w:p>
      <w:pPr>
        <w:pStyle w:val="Heading2"/>
        <w:keepNext/>
        <w:spacing w:after="140" w:before="300"/>
      </w:pPr>
      <w:r>
        <w:rPr>
          <w:rFonts w:ascii="맑은 고딕" w:cs="맑은 고딕" w:eastAsia="맑은 고딕" w:hAnsi="맑은 고딕"/>
          <w:b/>
          <w:bCs/>
          <w:color w:val="1A1A1A"/>
          <w:sz w:val="23"/>
          <w:szCs w:val="23"/>
        </w:rPr>
        <w:t xml:space="preserve">7.3 제작 범위와 비용 구분</w:t>
      </w:r>
    </w:p>
    <w:p>
      <w:pPr>
        <w:keepNext/>
        <w:spacing w:after="90" w:before="220"/>
      </w:pPr>
      <w:r>
        <w:rPr>
          <w:rFonts w:ascii="맑은 고딕" w:cs="맑은 고딕" w:eastAsia="맑은 고딕" w:hAnsi="맑은 고딕"/>
          <w:b/>
          <w:bCs/>
          <w:color w:val="1F3864"/>
          <w:sz w:val="18"/>
          <w:szCs w:val="18"/>
        </w:rPr>
        <w:t xml:space="preserve">[표 7-6] 운영 포함 항목과 별도 견적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운영에 포함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방향 설계(질문·콘셉트·매체별 활용안, 초기 3~5개 방향), 소재 운영·테스트, 분석 기반 문안의 근거 검수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견적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광고 소재, 영상 콘텐츠·편집, 현장·모델·드론 촬영, 리포트 디자인, 정보 허브 제작, 추가 디자인·인쇄물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별도 제작은 품목·수량·수정 횟수·납기·저작권 범위를 견적서로 사전 승인받은 후 착수하며, "콘텐츠 일체"와 같은 범위 불명확한 표현은 사용하지 않습니다. 비용 분리의 원칙은 제11장 11.3에서, 계약 시 확정 항목은 제13장 13.4에서 각각 정의합니다.</w:t>
      </w:r>
    </w:p>
    <w:p>
      <w:pPr>
        <w:pStyle w:val="Heading2"/>
        <w:keepNext/>
        <w:spacing w:after="140" w:before="300"/>
      </w:pPr>
      <w:r>
        <w:rPr>
          <w:rFonts w:ascii="맑은 고딕" w:cs="맑은 고딕" w:eastAsia="맑은 고딕" w:hAnsi="맑은 고딕"/>
          <w:b/>
          <w:bCs/>
          <w:color w:val="1A1A1A"/>
          <w:sz w:val="23"/>
          <w:szCs w:val="23"/>
        </w:rPr>
        <w:t xml:space="preserve">7.4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콘텐츠의 품질 기준은 시각적 완성도 이전에 근거 정합성입니다.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콘텐츠는 판매 논리(제6장)의 표현 등급을 통과한 문장으로 제작됩니다. 이 콘텐츠가 어떤 매체에서 어떤 역할로 노출되는지가 제8장의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제8장. 광고 운영</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매체는 나열하지 않고, 고객 여정 단계별 역할로 분담하여 운영합니다.</w:t>
      </w:r>
    </w:p>
    <w:p>
      <w:pPr>
        <w:keepNext/>
        <w:spacing w:after="90" w:before="220"/>
      </w:pPr>
      <w:r>
        <w:rPr>
          <w:rFonts w:ascii="맑은 고딕" w:cs="맑은 고딕" w:eastAsia="맑은 고딕" w:hAnsi="맑은 고딕"/>
          <w:b/>
          <w:bCs/>
          <w:color w:val="1F3864"/>
          <w:sz w:val="18"/>
          <w:szCs w:val="18"/>
        </w:rPr>
        <w:t xml:space="preserve">[표 8-1]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개별 운영은 평가 기준의 혼동(단일 DB 단가 일괄 평가)과 증빙 편향(특정 매체 집중)을 유발한다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매체마다 고객 여정에서 담당하는 역할이 다른데, 역할 구분 없이 동일한 지표로 평가되기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역할 분담(8.1), 매체별 공개 항목 표준화(8.2), 후속 매체 운영 원칙(8.3), 집행 전 검수(8.4)를 적용한다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매체가 담당 역할의 지표로 평가되고, 모든 유입이 캠페인·소재 단위로 계약까지 추적된다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8.1 고객 단계별 매체 역할</w:t>
      </w:r>
    </w:p>
    <w:p>
      <w:pPr>
        <w:keepNext/>
        <w:spacing w:after="90" w:before="220"/>
      </w:pPr>
      <w:r>
        <w:rPr>
          <w:rFonts w:ascii="맑은 고딕" w:cs="맑은 고딕" w:eastAsia="맑은 고딕" w:hAnsi="맑은 고딕"/>
          <w:b/>
          <w:bCs/>
          <w:color w:val="1F3864"/>
          <w:sz w:val="18"/>
          <w:szCs w:val="18"/>
        </w:rPr>
        <w:t xml:space="preserve">[표 8-2] 고객 여정과 매체 역할 분담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2835"/>
        <w:gridCol w:w="5216"/>
      </w:tblGrid>
      <w:tr>
        <w:trPr>
          <w:cantSplit/>
          <w:tblHeader/>
        </w:trPr>
        <w:tc>
          <w:tcPr>
            <w:tcW w:type="dxa" w:w="158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단계</w:t>
            </w:r>
          </w:p>
        </w:tc>
        <w:tc>
          <w:tcPr>
            <w:tcW w:type="dxa" w:w="28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매체</w:t>
            </w:r>
          </w:p>
        </w:tc>
        <w:tc>
          <w:tcPr>
            <w:tcW w:type="dxa" w:w="52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신규 관심 형성</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Meta·Instagram·Demand Gen</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가격·비교·질문형 콘텐츠로 잠재 수요 발굴</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신뢰 형성</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YouTube·Shorts·Reels</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현장과 분석 근거의 시각적 전달</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적극 검색 수요</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검색광고</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현장명·지역·가격·비교·청약 등 명시적 수요 포착</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전환 확대</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Performance Max</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사이트 행동·전화·상담 신청의 통합 최적화</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 재접촉</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LMS</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상태와 관심 주제에 맞춘 후속 정보 제공</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확인</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GEO 정보 허브</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광고와 상담의 공통 근거 허브 (제7장)</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방문·상담 관리</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업무툴</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담당자·연락·감도·일정·계약 상태 관리 (제9장)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역할 분담의 실익은 </w:t>
      </w:r>
      <w:r>
        <w:rPr>
          <w:rFonts w:ascii="맑은 고딕" w:cs="맑은 고딕" w:eastAsia="맑은 고딕" w:hAnsi="맑은 고딕"/>
          <w:b/>
          <w:bCs/>
          <w:i w:val="false"/>
          <w:iCs w:val="false"/>
          <w:color w:val="1A1A1A"/>
          <w:sz w:val="20"/>
          <w:szCs w:val="20"/>
        </w:rPr>
        <w:t xml:space="preserve">평가 기준의 정확성</w:t>
      </w:r>
      <w:r>
        <w:rPr>
          <w:rFonts w:ascii="맑은 고딕" w:cs="맑은 고딕" w:eastAsia="맑은 고딕" w:hAnsi="맑은 고딕"/>
          <w:b w:val="false"/>
          <w:bCs w:val="false"/>
          <w:i w:val="false"/>
          <w:iCs w:val="false"/>
          <w:color w:val="1A1A1A"/>
          <w:sz w:val="20"/>
          <w:szCs w:val="20"/>
        </w:rPr>
        <w:t xml:space="preserve">입니다. 각 매체가 담당 역할의 지표로 평가되므로, 단일 DB 단가로 전체 매체를 일괄 평가하는 오류(3.4)가 발생하지 않습니다.</w:t>
      </w:r>
    </w:p>
    <w:p>
      <w:pPr>
        <w:pStyle w:val="Heading2"/>
        <w:keepNext/>
        <w:spacing w:after="140" w:before="300"/>
      </w:pPr>
      <w:r>
        <w:rPr>
          <w:rFonts w:ascii="맑은 고딕" w:cs="맑은 고딕" w:eastAsia="맑은 고딕" w:hAnsi="맑은 고딕"/>
          <w:b/>
          <w:bCs/>
          <w:color w:val="1A1A1A"/>
          <w:sz w:val="23"/>
          <w:szCs w:val="23"/>
        </w:rPr>
        <w:t xml:space="preserve">8.2 매체별 운영·공개 항목</w:t>
      </w:r>
    </w:p>
    <w:p>
      <w:pPr>
        <w:keepNext/>
        <w:spacing w:after="90" w:before="220"/>
      </w:pPr>
      <w:r>
        <w:rPr>
          <w:rFonts w:ascii="맑은 고딕" w:cs="맑은 고딕" w:eastAsia="맑은 고딕" w:hAnsi="맑은 고딕"/>
          <w:b/>
          <w:bCs/>
          <w:color w:val="1F3864"/>
          <w:sz w:val="18"/>
          <w:szCs w:val="18"/>
        </w:rPr>
        <w:t xml:space="preserve">[표 8-3] 매체별 목적과 확인 지표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5"/>
        <w:gridCol w:w="3049"/>
        <w:gridCol w:w="5114"/>
      </w:tblGrid>
      <w:tr>
        <w:trPr>
          <w:cantSplit/>
          <w:tblHeader/>
        </w:trPr>
        <w:tc>
          <w:tcPr>
            <w:tcW w:type="dxa" w:w="147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매체</w:t>
            </w:r>
          </w:p>
        </w:tc>
        <w:tc>
          <w:tcPr>
            <w:tcW w:type="dxa" w:w="30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목적</w:t>
            </w:r>
          </w:p>
        </w:tc>
        <w:tc>
          <w:tcPr>
            <w:tcW w:type="dxa" w:w="51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지표</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관심 형성·리드·리타기팅</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캠페인·광고세트·소재·지출·노출·클릭·리드·리드당 비용</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검색</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명시적 지역·현장·가격 수요 포착</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검색어·클릭·전화·상담·전환·비용</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Performance Max</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여러 Google 지면의 전환 확대</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자산그룹·지출·전환·전화·상담·가치</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Demand Gen</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발견형 시각 콘텐츠로 관심 확대</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소재·노출·클릭·사이트 행동·리드</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YouTube</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신뢰와 재접촉 풀 확보</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조회·시청시간·사이트 유입·보조 전환</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LMS</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DB의 상태별 후속 접촉</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대상·발송·성공·클릭·상담 연결·방문 전환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공통으로 기간·일별 비용·전환 정의·어트리뷰션·계정 화면(또는 리포트)이 공개됩니다. 유입 추적 체계(UTM·리드 ID)는 업무툴까지 보존되어 소재별 계약 기여 분석의 기반이 됩니다.</w:t>
      </w:r>
    </w:p>
    <w:p>
      <w:pPr>
        <w:pStyle w:val="Heading2"/>
        <w:keepNext/>
        <w:spacing w:after="140" w:before="300"/>
      </w:pPr>
      <w:r>
        <w:rPr>
          <w:rFonts w:ascii="맑은 고딕" w:cs="맑은 고딕" w:eastAsia="맑은 고딕" w:hAnsi="맑은 고딕"/>
          <w:b/>
          <w:bCs/>
          <w:color w:val="1A1A1A"/>
          <w:sz w:val="23"/>
          <w:szCs w:val="23"/>
        </w:rPr>
        <w:t xml:space="preserve">8.3 LMS 운영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LMS는 발송 건수와 단가의 확인이 용이하여 증빙 편향(2.5)이 발생하기 쉬운 매체입니다. 당사의 원칙은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신규 수요 확보는 발견·검색·영상 매체가 담당하고, LMS는 이미 수집된 고객을 상담 상태와 관심 주제에 맞춰 재접촉하는 후속 매체로만 사용합니다.</w:t>
            </w:r>
          </w:p>
        </w:tc>
      </w:tr>
    </w:tbl>
    <w:p>
      <w:pPr>
        <w:spacing w:after="180" w:before="0"/>
      </w:pPr>
    </w:p>
    <w:p>
      <w:pPr>
        <w:keepNext/>
        <w:spacing w:after="90" w:before="220"/>
      </w:pPr>
      <w:r>
        <w:rPr>
          <w:rFonts w:ascii="맑은 고딕" w:cs="맑은 고딕" w:eastAsia="맑은 고딕" w:hAnsi="맑은 고딕"/>
          <w:b/>
          <w:bCs/>
          <w:color w:val="1F3864"/>
          <w:sz w:val="18"/>
          <w:szCs w:val="18"/>
        </w:rPr>
        <w:t xml:space="preserve">[표 8-4] 상담 상태별 후속 메시지 설계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2608"/>
        <w:gridCol w:w="5216"/>
      </w:tblGrid>
      <w:tr>
        <w:trPr>
          <w:cantSplit/>
          <w:tblHeader/>
        </w:trPr>
        <w:tc>
          <w:tcPr>
            <w:tcW w:type="dxa" w:w="18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상태</w:t>
            </w:r>
          </w:p>
        </w:tc>
        <w:tc>
          <w:tcPr>
            <w:tcW w:type="dxa" w:w="26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메시지 목적</w:t>
            </w:r>
          </w:p>
        </w:tc>
        <w:tc>
          <w:tcPr>
            <w:tcW w:type="dxa" w:w="52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미연락·연락 실패</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재접촉 경로 확보</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통화 가능 시간 선택, 간단 자료 확인 링크</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관심</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총비용과 비교 기준 제시</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분양가·옵션·세금·비교단지 요약</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 관심</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현재와 계획의 분리</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이동시간, 공식 추진 단계, 조건부 개선</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고감도·방문 전</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불확실성 해소</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체크포인트, 세대·주차·상담 준비자료</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후 미결정</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사유별 보완</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가격·대출·가족 협의·경쟁 현장 비교자료</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장기 보류</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과도한 반복 회피</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분양조건·공정·공식 계획의 실질 변경사항만 발송</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발송은 수신 동의 범위와 광고성 정보 표시 기준을 준수하며(제14장), 발송 건수가 아니라 </w:t>
      </w:r>
      <w:r>
        <w:rPr>
          <w:rFonts w:ascii="맑은 고딕" w:cs="맑은 고딕" w:eastAsia="맑은 고딕" w:hAnsi="맑은 고딕"/>
          <w:b/>
          <w:bCs/>
          <w:i w:val="false"/>
          <w:iCs w:val="false"/>
          <w:color w:val="1A1A1A"/>
          <w:sz w:val="20"/>
          <w:szCs w:val="20"/>
        </w:rPr>
        <w:t xml:space="preserve">상담 연결·방문 전환</w:t>
      </w:r>
      <w:r>
        <w:rPr>
          <w:rFonts w:ascii="맑은 고딕" w:cs="맑은 고딕" w:eastAsia="맑은 고딕" w:hAnsi="맑은 고딕"/>
          <w:b w:val="false"/>
          <w:bCs w:val="false"/>
          <w:i w:val="false"/>
          <w:iCs w:val="false"/>
          <w:color w:val="1A1A1A"/>
          <w:sz w:val="20"/>
          <w:szCs w:val="20"/>
        </w:rPr>
        <w:t xml:space="preserve">으로 평가됩니다.</w:t>
      </w:r>
    </w:p>
    <w:p>
      <w:pPr>
        <w:pStyle w:val="Heading2"/>
        <w:keepNext/>
        <w:spacing w:after="140" w:before="300"/>
      </w:pPr>
      <w:r>
        <w:rPr>
          <w:rFonts w:ascii="맑은 고딕" w:cs="맑은 고딕" w:eastAsia="맑은 고딕" w:hAnsi="맑은 고딕"/>
          <w:b/>
          <w:bCs/>
          <w:color w:val="1A1A1A"/>
          <w:sz w:val="23"/>
          <w:szCs w:val="23"/>
        </w:rPr>
        <w:t xml:space="preserve">8.4 집행 전 검수와 운영 통제</w:t>
      </w:r>
    </w:p>
    <w:p>
      <w:pPr>
        <w:keepNext/>
        <w:spacing w:after="90" w:before="220"/>
      </w:pPr>
      <w:r>
        <w:rPr>
          <w:rFonts w:ascii="맑은 고딕" w:cs="맑은 고딕" w:eastAsia="맑은 고딕" w:hAnsi="맑은 고딕"/>
          <w:b/>
          <w:bCs/>
          <w:color w:val="1F3864"/>
          <w:sz w:val="18"/>
          <w:szCs w:val="18"/>
        </w:rPr>
        <w:t xml:space="preserve">[표 8-5] 캠페인 개시 전 검수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소유·권한·결제·전환 설정·명명 규칙</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추적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이벤트 정의, 중복 제거, 업무툴 연동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승인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 등급 지정 완료 및 시행사 승인</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운영 중에는 예산 이상·급격한 소진·미집행이 알림으로 관리되고, 매체·소재·타깃의 조정은 주간 운영 사이클(제12장)의 승인 절차를 따릅니다. 근거 미확정 문구의 광고 사용 금지 원칙(12.1)은 집행 기간 전체에 적용됩니다.</w:t>
      </w:r>
    </w:p>
    <w:p>
      <w:pPr>
        <w:pStyle w:val="Heading2"/>
        <w:keepNext/>
        <w:spacing w:after="140" w:before="300"/>
      </w:pPr>
      <w:r>
        <w:rPr>
          <w:rFonts w:ascii="맑은 고딕" w:cs="맑은 고딕" w:eastAsia="맑은 고딕" w:hAnsi="맑은 고딕"/>
          <w:b/>
          <w:bCs/>
          <w:color w:val="1A1A1A"/>
          <w:sz w:val="23"/>
          <w:szCs w:val="23"/>
        </w:rPr>
        <w:t xml:space="preserve">8.5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대행 구조에서 광고 집행은 업무의 전부이지만, 본 운영체계에서는 열 단계 중 네 번째 단계입니다. 광고 앞의 세 단계가 집행의 품질을 결정하고, 광고 뒤의 여섯 단계가 집행의 성과를 회수합니다.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매체 운영의 최종 평가는 매체 내부 지표가 아니라 업무툴로 이어지는 전환 데이터로 수행됩니다. 그 관리 체계가 제9장의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제9장. CRM·고객관리</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DB 전달은 운영의 종료가 아니라 전환관리의 시작입니다.</w:t>
      </w:r>
    </w:p>
    <w:p>
      <w:pPr>
        <w:keepNext/>
        <w:spacing w:after="90" w:before="220"/>
      </w:pPr>
      <w:r>
        <w:rPr>
          <w:rFonts w:ascii="맑은 고딕" w:cs="맑은 고딕" w:eastAsia="맑은 고딕" w:hAnsi="맑은 고딕"/>
          <w:b/>
          <w:bCs/>
          <w:color w:val="1F3864"/>
          <w:sz w:val="18"/>
          <w:szCs w:val="18"/>
        </w:rPr>
        <w:t xml:space="preserve">[표 9-1]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DB를 다수 확보해도 최초 연락 지연·배정 불명확·후속 부재로 전환 기회가 소멸한다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처리 상태가 담당자 개인에게 귀속되어 관리 사각지대가 발생하기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10단계 표준 고객 상태(9.2), 규칙 기반 배정과 연락 지연 알림(9.3), 관리자 대시보드(9.4)를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본부가 별도 보고 없이 병목을 상시 확인하고, 거절 사유가 조직의 데이터로 축적된다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9.1 두 구조가 갈라지는 지점</w:t>
      </w:r>
    </w:p>
    <w:p>
      <w:pPr>
        <w:keepNext/>
        <w:spacing w:after="90" w:before="220"/>
      </w:pPr>
      <w:r>
        <w:rPr>
          <w:rFonts w:ascii="맑은 고딕" w:cs="맑은 고딕" w:eastAsia="맑은 고딕" w:hAnsi="맑은 고딕"/>
          <w:b/>
          <w:bCs/>
          <w:color w:val="1F3864"/>
          <w:sz w:val="18"/>
          <w:szCs w:val="18"/>
        </w:rPr>
        <w:t xml:space="preserve">[그림 9-1] DB 전달 지점에서의 구조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대행: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분양하마:                             └→ CRM 연동 → 고객관리 → 방문 → 계약 → 학습 → 최적화</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광고의 책임이 DB 전달에서 종료되는 구조에서는, 그 이후의 모든 손실(연락 누락, 배정 불명확, 후속 부재)이 관리 사각지대에서 발생합니다.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DB 전달을 </w:t>
      </w:r>
      <w:r>
        <w:rPr>
          <w:rFonts w:ascii="맑은 고딕" w:cs="맑은 고딕" w:eastAsia="맑은 고딕" w:hAnsi="맑은 고딕"/>
          <w:b/>
          <w:bCs/>
          <w:i w:val="false"/>
          <w:iCs w:val="false"/>
          <w:color w:val="1A1A1A"/>
          <w:sz w:val="20"/>
          <w:szCs w:val="20"/>
        </w:rPr>
        <w:t xml:space="preserve">전환관리의 시작</w:t>
      </w:r>
      <w:r>
        <w:rPr>
          <w:rFonts w:ascii="맑은 고딕" w:cs="맑은 고딕" w:eastAsia="맑은 고딕" w:hAnsi="맑은 고딕"/>
          <w:b w:val="false"/>
          <w:bCs w:val="false"/>
          <w:i w:val="false"/>
          <w:iCs w:val="false"/>
          <w:color w:val="1A1A1A"/>
          <w:sz w:val="20"/>
          <w:szCs w:val="20"/>
        </w:rPr>
        <w:t xml:space="preserve">으로 정의합니다. 광고·정보 허브·전화·LMS에서 유입된 DB는 업무툴에 자동(또는 규칙 기반) 연동되며, 유입 시각·캠페인·소재·동의 정보가 보존된 상태로 담당자에게 배정됩니다. 중복 DB는 식별·병합되고 연락처는 정규화됩니다.</w:t>
      </w:r>
    </w:p>
    <w:p>
      <w:pPr>
        <w:pStyle w:val="Heading2"/>
        <w:keepNext/>
        <w:spacing w:after="140" w:before="300"/>
      </w:pPr>
      <w:r>
        <w:rPr>
          <w:rFonts w:ascii="맑은 고딕" w:cs="맑은 고딕" w:eastAsia="맑은 고딕" w:hAnsi="맑은 고딕"/>
          <w:b/>
          <w:bCs/>
          <w:color w:val="1A1A1A"/>
          <w:sz w:val="23"/>
          <w:szCs w:val="23"/>
        </w:rPr>
        <w:t xml:space="preserve">9.2 표준 고객 상태 10단계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고객의 상태는 담당자의 기억이 아니라 표준 단계로 관리됩니다.</w:t>
      </w:r>
    </w:p>
    <w:p>
      <w:pPr>
        <w:keepNext/>
        <w:spacing w:after="90" w:before="220"/>
      </w:pPr>
      <w:r>
        <w:rPr>
          <w:rFonts w:ascii="맑은 고딕" w:cs="맑은 고딕" w:eastAsia="맑은 고딕" w:hAnsi="맑은 고딕"/>
          <w:b/>
          <w:bCs/>
          <w:color w:val="1F3864"/>
          <w:sz w:val="18"/>
          <w:szCs w:val="18"/>
        </w:rPr>
        <w:t xml:space="preserve">[표 9-2] 고객 퍼널 10단계와 필수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6"/>
        <w:gridCol w:w="4337"/>
        <w:gridCol w:w="3735"/>
      </w:tblGrid>
      <w:tr>
        <w:trPr>
          <w:cantSplit/>
          <w:tblHeader/>
        </w:trPr>
        <w:tc>
          <w:tcPr>
            <w:tcW w:type="dxa" w:w="156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43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정의</w:t>
            </w:r>
          </w:p>
        </w:tc>
        <w:tc>
          <w:tcPr>
            <w:tcW w:type="dxa" w:w="3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필수 기록</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 신규 DB</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광고·전화·LMS·현장 등에서 신규 유입</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시각·캠페인·소재·동의 정보</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 미연락</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배정 후 연락 시도 없음</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담당자·배정 시각·기준시간</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 연락 시도</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전화·문자 등 접촉 시도</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시도 시각·채널·결과·다음 연락</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 상담 완료</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니즈·예산·관심 주제 확인</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요약·거절 요인·고객 감도</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 고감도</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또는 구체 조건 검토 가능성 높음</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사유·후속 일정·필요 자료</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 방문 예정</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일정과 참여자 합의 완료</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일시·인원·담당자·확인사항</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 방문 완료</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현장·모델하우스 상담 완료</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결과·관심 호수·보완 과제</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 계약 검토</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청약·가계약·자금계획 등 구체 검토</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의사결정자·자금·기한·쟁점</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 계약 완료</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기준 충족 및 등록</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계약일·상품·금액·기여 경로</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 보류·거절</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중단 또는 장기 검토</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사유·메모·재접촉 가능일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10단계의 </w:t>
      </w:r>
      <w:r>
        <w:rPr>
          <w:rFonts w:ascii="맑은 고딕" w:cs="맑은 고딕" w:eastAsia="맑은 고딕" w:hAnsi="맑은 고딕"/>
          <w:b/>
          <w:bCs/>
          <w:i w:val="false"/>
          <w:iCs w:val="false"/>
          <w:color w:val="1A1A1A"/>
          <w:sz w:val="20"/>
          <w:szCs w:val="20"/>
        </w:rPr>
        <w:t xml:space="preserve">표준 사유</w:t>
      </w:r>
      <w:r>
        <w:rPr>
          <w:rFonts w:ascii="맑은 고딕" w:cs="맑은 고딕" w:eastAsia="맑은 고딕" w:hAnsi="맑은 고딕"/>
          <w:b w:val="false"/>
          <w:bCs w:val="false"/>
          <w:i w:val="false"/>
          <w:iCs w:val="false"/>
          <w:color w:val="1A1A1A"/>
          <w:sz w:val="20"/>
          <w:szCs w:val="20"/>
        </w:rPr>
        <w:t xml:space="preserve"> 기록이 학습 구조(4.4)의 원료입니다. 가격·대출·가족 협의·경쟁 현장·일정 등 표준 항목으로 기록된 거절 사유는 개인의 인상이 아니라 조직의 데이터가 되어 다음 콘텐츠와 상담 전략에 반영됩니다.</w:t>
      </w:r>
    </w:p>
    <w:p>
      <w:pPr>
        <w:pStyle w:val="Heading2"/>
        <w:keepNext/>
        <w:spacing w:after="140" w:before="300"/>
      </w:pPr>
      <w:r>
        <w:rPr>
          <w:rFonts w:ascii="맑은 고딕" w:cs="맑은 고딕" w:eastAsia="맑은 고딕" w:hAnsi="맑은 고딕"/>
          <w:b/>
          <w:bCs/>
          <w:color w:val="1A1A1A"/>
          <w:sz w:val="23"/>
          <w:szCs w:val="23"/>
        </w:rPr>
        <w:t xml:space="preserve">9.3 배정·연락지연·후속 관리</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배정.</w:t>
      </w:r>
      <w:r>
        <w:rPr>
          <w:rFonts w:ascii="맑은 고딕" w:cs="맑은 고딕" w:eastAsia="맑은 고딕" w:hAnsi="맑은 고딕"/>
          <w:b w:val="false"/>
          <w:bCs w:val="false"/>
          <w:i w:val="false"/>
          <w:iCs w:val="false"/>
          <w:color w:val="1A1A1A"/>
          <w:sz w:val="20"/>
          <w:szCs w:val="20"/>
        </w:rPr>
        <w:t xml:space="preserve"> 팀·담당자·근무 상태·순번·캠페인에 따른 규칙 기반 배정을 적용합니다. 신규 DB는 실시간으로 담당자에게 알림되며 배정 이력이 저장됩니다.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연락지연 관리.</w:t>
      </w:r>
      <w:r>
        <w:rPr>
          <w:rFonts w:ascii="맑은 고딕" w:cs="맑은 고딕" w:eastAsia="맑은 고딕" w:hAnsi="맑은 고딕"/>
          <w:b w:val="false"/>
          <w:bCs w:val="false"/>
          <w:i w:val="false"/>
          <w:iCs w:val="false"/>
          <w:color w:val="1A1A1A"/>
          <w:sz w:val="20"/>
          <w:szCs w:val="20"/>
        </w:rPr>
        <w:t xml:space="preserve"> 최초 연락 기준시간은 현장 근무 체계와 고객 유입 시간을 고려하여 계약 시 확정합니다. 기준 초과 시 담당자와 관리자에게 단계별 알림이 발송되고, 재배정 또는 관리자 개입 규칙을 설정할 수 있습니다.</w:t>
      </w:r>
    </w:p>
    <w:p>
      <w:pPr>
        <w:keepNext/>
        <w:spacing w:after="90" w:before="220"/>
      </w:pPr>
      <w:r>
        <w:rPr>
          <w:rFonts w:ascii="맑은 고딕" w:cs="맑은 고딕" w:eastAsia="맑은 고딕" w:hAnsi="맑은 고딕"/>
          <w:b/>
          <w:bCs/>
          <w:color w:val="1F3864"/>
          <w:sz w:val="18"/>
          <w:szCs w:val="18"/>
        </w:rPr>
        <w:t xml:space="preserve">[표 9-3] 연락 및 후속관리 기준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2"/>
        <w:gridCol w:w="3961"/>
        <w:gridCol w:w="4225"/>
      </w:tblGrid>
      <w:tr>
        <w:trPr>
          <w:cantSplit/>
          <w:tblHeader/>
        </w:trPr>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항목</w:t>
            </w:r>
          </w:p>
        </w:tc>
        <w:tc>
          <w:tcPr>
            <w:tcW w:type="dxa" w:w="396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w:t>
            </w:r>
          </w:p>
        </w:tc>
        <w:tc>
          <w:tcPr>
            <w:tcW w:type="dxa" w:w="42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조치</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배정</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즉시 또는 규칙 실행 후</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알림, 배정 이력 저장</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연락</w:t>
            </w:r>
          </w:p>
        </w:tc>
        <w:tc>
          <w:tcPr>
            <w:tcW w:type="dxa" w:w="3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합의 시간 이내</w:t>
            </w:r>
          </w:p>
        </w:tc>
        <w:tc>
          <w:tcPr>
            <w:tcW w:type="dxa" w:w="42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지연 알림, 관리자 대시보드 표시</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실패</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횟수·시간대별 시도</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다음 연락 예약, 후속 메시지 보조</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 고객</w:t>
            </w:r>
          </w:p>
        </w:tc>
        <w:tc>
          <w:tcPr>
            <w:tcW w:type="dxa" w:w="3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일반 고객보다 단축된 후속 시간</w:t>
            </w:r>
          </w:p>
        </w:tc>
        <w:tc>
          <w:tcPr>
            <w:tcW w:type="dxa" w:w="42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관리자 알림, 방문 자료 자동 준비</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예정</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전일·당일 확인</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참석 확인, 노쇼 사유, 재예약</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상기 시간과 횟수는 확정 SLA가 아니며, 현장 근무시간·인력·유입량을 반영하여 계약 또는 운영계획에서 확정합니다.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기록 대상은 "연락했음"의 체크가 아니라 </w:t>
      </w:r>
      <w:r>
        <w:rPr>
          <w:rFonts w:ascii="맑은 고딕" w:cs="맑은 고딕" w:eastAsia="맑은 고딕" w:hAnsi="맑은 고딕"/>
          <w:b/>
          <w:bCs/>
          <w:i w:val="false"/>
          <w:iCs w:val="false"/>
          <w:color w:val="1A1A1A"/>
          <w:sz w:val="20"/>
          <w:szCs w:val="20"/>
        </w:rPr>
        <w:t xml:space="preserve">시도 횟수·연결 여부·다음 행동</w:t>
      </w:r>
      <w:r>
        <w:rPr>
          <w:rFonts w:ascii="맑은 고딕" w:cs="맑은 고딕" w:eastAsia="맑은 고딕" w:hAnsi="맑은 고딕"/>
          <w:b w:val="false"/>
          <w:bCs w:val="false"/>
          <w:i w:val="false"/>
          <w:iCs w:val="false"/>
          <w:color w:val="1A1A1A"/>
          <w:sz w:val="20"/>
          <w:szCs w:val="20"/>
        </w:rPr>
        <w:t xml:space="preserve">입니다.</w:t>
      </w:r>
    </w:p>
    <w:p>
      <w:pPr>
        <w:keepNext/>
        <w:spacing w:after="90" w:before="220"/>
      </w:pPr>
      <w:r>
        <w:rPr>
          <w:rFonts w:ascii="맑은 고딕" w:cs="맑은 고딕" w:eastAsia="맑은 고딕" w:hAnsi="맑은 고딕"/>
          <w:b/>
          <w:bCs/>
          <w:color w:val="1F3864"/>
          <w:sz w:val="18"/>
          <w:szCs w:val="18"/>
        </w:rPr>
        <w:t xml:space="preserve">[표 9-4] 관리자 화면의 고객 상태 표시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38"/>
        <w:gridCol w:w="1013"/>
        <w:gridCol w:w="1537"/>
        <w:gridCol w:w="2413"/>
        <w:gridCol w:w="1537"/>
      </w:tblGrid>
      <w:tr>
        <w:trPr>
          <w:cantSplit/>
          <w:tblHeader/>
        </w:trPr>
        <w:tc>
          <w:tcPr>
            <w:tcW w:type="dxa" w:w="9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w:t>
            </w:r>
          </w:p>
        </w:tc>
        <w:tc>
          <w:tcPr>
            <w:tcW w:type="dxa" w:w="22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유입 소재</w:t>
            </w:r>
          </w:p>
        </w:tc>
        <w:tc>
          <w:tcPr>
            <w:tcW w:type="dxa" w:w="10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담당자</w:t>
            </w:r>
          </w:p>
        </w:tc>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상태</w:t>
            </w:r>
          </w:p>
        </w:tc>
        <w:tc>
          <w:tcPr>
            <w:tcW w:type="dxa" w:w="24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후속 조치</w:t>
            </w:r>
          </w:p>
        </w:tc>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지연 여부</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비교형</w:t>
            </w:r>
          </w:p>
        </w:tc>
        <w:tc>
          <w:tcPr>
            <w:tcW w:type="dxa" w:w="10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1</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w:t>
            </w:r>
          </w:p>
        </w:tc>
        <w:tc>
          <w:tcPr>
            <w:tcW w:type="dxa" w:w="24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일정 확인</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r>
        <w:trPr>
          <w:cantSplit/>
          <w:tblHeader w:val="false"/>
        </w:trPr>
        <w:tc>
          <w:tcPr>
            <w:tcW w:type="dxa" w:w="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B</w:t>
            </w:r>
          </w:p>
        </w:tc>
        <w:tc>
          <w:tcPr>
            <w:tcW w:type="dxa" w:w="22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 분석형</w:t>
            </w:r>
          </w:p>
        </w:tc>
        <w:tc>
          <w:tcPr>
            <w:tcW w:type="dxa" w:w="10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2</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w:t>
            </w:r>
          </w:p>
        </w:tc>
        <w:tc>
          <w:tcPr>
            <w:tcW w:type="dxa" w:w="24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즉시 연락</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지연</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리스크형</w:t>
            </w:r>
          </w:p>
        </w:tc>
        <w:tc>
          <w:tcPr>
            <w:tcW w:type="dxa" w:w="10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3</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예정</w:t>
            </w:r>
          </w:p>
        </w:tc>
        <w:tc>
          <w:tcPr>
            <w:tcW w:type="dxa" w:w="24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리마인드 발송</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r>
        <w:trPr>
          <w:cantSplit/>
          <w:tblHeader w:val="false"/>
        </w:trPr>
        <w:tc>
          <w:tcPr>
            <w:tcW w:type="dxa" w:w="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w:t>
            </w:r>
          </w:p>
        </w:tc>
        <w:tc>
          <w:tcPr>
            <w:tcW w:type="dxa" w:w="22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영상형</w:t>
            </w:r>
          </w:p>
        </w:tc>
        <w:tc>
          <w:tcPr>
            <w:tcW w:type="dxa" w:w="10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1</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w:t>
            </w:r>
          </w:p>
        </w:tc>
        <w:tc>
          <w:tcPr>
            <w:tcW w:type="dxa" w:w="24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반론 자료 전달</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"유입 소재" 열이 이 화면의 핵심입니다. 고객 B가 교통 분석형 소재로 유입됐다는 정보가 보존되므로, 담당자는 해당 고객의 관심 축을 파악한 상태로 연락하고, 관리자는 소재별 전환 성과를 계약까지 추적할 수 있습니다. </w:t>
      </w:r>
      <w:r>
        <w:rPr>
          <w:rFonts w:ascii="맑은 고딕" w:cs="맑은 고딕" w:eastAsia="맑은 고딕" w:hAnsi="맑은 고딕"/>
          <w:b/>
          <w:bCs/>
          <w:i w:val="false"/>
          <w:iCs w:val="false"/>
          <w:color w:val="1A1A1A"/>
          <w:sz w:val="20"/>
          <w:szCs w:val="20"/>
        </w:rPr>
        <w:t xml:space="preserve">광고와 상담이 동일한 데이터 위에서 만나는 지점</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9.4 관리자 대시보드</w:t>
      </w:r>
    </w:p>
    <w:p>
      <w:pPr>
        <w:keepNext/>
        <w:spacing w:after="90" w:before="220"/>
      </w:pPr>
      <w:r>
        <w:rPr>
          <w:rFonts w:ascii="맑은 고딕" w:cs="맑은 고딕" w:eastAsia="맑은 고딕" w:hAnsi="맑은 고딕"/>
          <w:b/>
          <w:bCs/>
          <w:color w:val="1F3864"/>
          <w:sz w:val="18"/>
          <w:szCs w:val="18"/>
        </w:rPr>
        <w:t xml:space="preserve">[표 9-5] 본부장·총괄 확인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전체·신규·미연락·연락지연·상담완료·고감도·방문예정·방문완료·계약검토·계약완료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현황</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 건수, 최초 연락시간, 상담완료율, 방문예약률, 실방문률, 업데이트 지연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매체·캠페인·소재별 DB·유효 DB·상담·방문·계약</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병목 현황</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연락 실패, 가격 거절, 가족 협의, 대출, 경쟁 현장, 노쇼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오늘·주간 방문, 담당자별 일정, 미확인·재예약</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알림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미연락·지연, 장기 미갱신, 고감도 후속 누락, 상태 미입력, 예산 이상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대시보드의 의미는 정보량이 아니라 </w:t>
      </w:r>
      <w:r>
        <w:rPr>
          <w:rFonts w:ascii="맑은 고딕" w:cs="맑은 고딕" w:eastAsia="맑은 고딕" w:hAnsi="맑은 고딕"/>
          <w:b/>
          <w:bCs/>
          <w:i w:val="false"/>
          <w:iCs w:val="false"/>
          <w:color w:val="1A1A1A"/>
          <w:sz w:val="20"/>
          <w:szCs w:val="20"/>
        </w:rPr>
        <w:t xml:space="preserve">질문의 즉답성</w:t>
      </w:r>
      <w:r>
        <w:rPr>
          <w:rFonts w:ascii="맑은 고딕" w:cs="맑은 고딕" w:eastAsia="맑은 고딕" w:hAnsi="맑은 고딕"/>
          <w:b w:val="false"/>
          <w:bCs w:val="false"/>
          <w:i w:val="false"/>
          <w:iCs w:val="false"/>
          <w:color w:val="1A1A1A"/>
          <w:sz w:val="20"/>
          <w:szCs w:val="20"/>
        </w:rPr>
        <w:t xml:space="preserve">입니다. "이번 주 방문 몇 건인가", "미연락 고객이 몇 명인가", "어느 소재에서 계약이 발생했는가" 등 별도 보고를 요청해야 답을 얻던 질문이 상시 조회로 전환됩니다.</w:t>
      </w:r>
    </w:p>
    <w:p>
      <w:pPr>
        <w:pStyle w:val="Heading2"/>
        <w:keepNext/>
        <w:spacing w:after="140" w:before="300"/>
      </w:pPr>
      <w:r>
        <w:rPr>
          <w:rFonts w:ascii="맑은 고딕" w:cs="맑은 고딕" w:eastAsia="맑은 고딕" w:hAnsi="맑은 고딕"/>
          <w:b/>
          <w:bCs/>
          <w:color w:val="1A1A1A"/>
          <w:sz w:val="23"/>
          <w:szCs w:val="23"/>
        </w:rPr>
        <w:t xml:space="preserve">9.5 제공 조건과 운영 전제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업무툴은 광고 운영 현장에 대해 계약된 기간과 범위 안에서 </w:t>
      </w:r>
      <w:r>
        <w:rPr>
          <w:rFonts w:ascii="맑은 고딕" w:cs="맑은 고딕" w:eastAsia="맑은 고딕" w:hAnsi="맑은 고딕"/>
          <w:b/>
          <w:bCs/>
          <w:i w:val="false"/>
          <w:iCs w:val="false"/>
          <w:color w:val="1A1A1A"/>
          <w:sz w:val="20"/>
          <w:szCs w:val="20"/>
        </w:rPr>
        <w:t xml:space="preserve">별도 라이선스비 없이 제공</w:t>
      </w:r>
      <w:r>
        <w:rPr>
          <w:rFonts w:ascii="맑은 고딕" w:cs="맑은 고딕" w:eastAsia="맑은 고딕" w:hAnsi="맑은 고딕"/>
          <w:b w:val="false"/>
          <w:bCs w:val="false"/>
          <w:i w:val="false"/>
          <w:iCs w:val="false"/>
          <w:color w:val="1A1A1A"/>
          <w:sz w:val="20"/>
          <w:szCs w:val="20"/>
        </w:rPr>
        <w:t xml:space="preserve">하는 것을 표준 원칙으로 합니다(현장 1개 기준). 사용자 수, 계정 권한, 장기 보관, 종료 후 내보내기, 외부 CRM 연동, 추가 개발, 지원 범위는 계약 전에 확정합니다. 종료 후 데이터의 반환·삭제·보존은 개인정보 처리위탁 계약과 현장 정책에 따릅니다(제14장).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한 가지 운영 전제를 명시합니다. </w:t>
      </w:r>
      <w:r>
        <w:rPr>
          <w:rFonts w:ascii="맑은 고딕" w:cs="맑은 고딕" w:eastAsia="맑은 고딕" w:hAnsi="맑은 고딕"/>
          <w:b/>
          <w:bCs/>
          <w:i w:val="false"/>
          <w:iCs w:val="false"/>
          <w:color w:val="1A1A1A"/>
          <w:sz w:val="20"/>
          <w:szCs w:val="20"/>
        </w:rPr>
        <w:t xml:space="preserve">현장 담당자가 상담·방문·계약 상태를 입력하지 않으면 광고별 계약 연결 분석은 제한됩니다.</w:t>
      </w:r>
      <w:r>
        <w:rPr>
          <w:rFonts w:ascii="맑은 고딕" w:cs="맑은 고딕" w:eastAsia="맑은 고딕" w:hAnsi="맑은 고딕"/>
          <w:b w:val="false"/>
          <w:bCs w:val="false"/>
          <w:i w:val="false"/>
          <w:iCs w:val="false"/>
          <w:color w:val="1A1A1A"/>
          <w:sz w:val="20"/>
          <w:szCs w:val="20"/>
        </w:rPr>
        <w:t xml:space="preserve"> 업무툴은 입력을 간소화하고 누락을 알림으로 관리하지만, 입력 자체를 대신할 수는 없습니다. 이 때문에 착수 시 현장 운영 책임(담당자 입력 의무, 본부 점검 체계)을 역할 분담으로 합의합니다(제14장).</w:t>
      </w:r>
    </w:p>
    <w:p>
      <w:pPr>
        <w:pStyle w:val="Heading2"/>
        <w:keepNext/>
        <w:spacing w:after="140" w:before="300"/>
      </w:pPr>
      <w:r>
        <w:rPr>
          <w:rFonts w:ascii="맑은 고딕" w:cs="맑은 고딕" w:eastAsia="맑은 고딕" w:hAnsi="맑은 고딕"/>
          <w:b/>
          <w:bCs/>
          <w:color w:val="1A1A1A"/>
          <w:sz w:val="23"/>
          <w:szCs w:val="23"/>
        </w:rPr>
        <w:t xml:space="preserve">9.6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업무툴은 단순 도구가 아니라 운영 계약의 실행 장치입니다.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유입 정보(제8장)와 현장 처리 기록이 이 지점에서 결합되며, 현장의 입력 책임이 이행될 때 광고-계약 연결 분석이 완성됩니다. 그 측정 체계가 제10장의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제10장. 성과 측정</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성과는 DB 단가가 아니라 전체 퍼널로, 사전에 합의된 정의로 측정합니다.</w:t>
      </w:r>
    </w:p>
    <w:p>
      <w:pPr>
        <w:keepNext/>
        <w:spacing w:after="90" w:before="220"/>
      </w:pPr>
      <w:r>
        <w:rPr>
          <w:rFonts w:ascii="맑은 고딕" w:cs="맑은 고딕" w:eastAsia="맑은 고딕" w:hAnsi="맑은 고딕"/>
          <w:b/>
          <w:bCs/>
          <w:color w:val="1F3864"/>
          <w:sz w:val="18"/>
          <w:szCs w:val="18"/>
        </w:rPr>
        <w:t xml:space="preserve">[표 10-1]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정의가 통일되지 않으면 동일한 숫자를 두고 해석이 갈리고, 성과 보고를 검증할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 완료·방문 확인의 기준이 주체마다 다르고, 성과가 단일 DB 단가로 일괄 평가되기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KPI 표준 정의의 사전 합의(10.2), 8영역 지표 체계(10.3), 기준선 측정(10.4), 병목 진단 표준(10.5)을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판정이 원천 데이터로 검증 가능해지고, 병목별 개선이 데이터로 결정된다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10.1 측정 기본원칙</w:t>
      </w:r>
    </w:p>
    <w:p>
      <w:pPr>
        <w:keepNext/>
        <w:spacing w:after="90" w:before="220"/>
      </w:pPr>
      <w:r>
        <w:rPr>
          <w:rFonts w:ascii="맑은 고딕" w:cs="맑은 고딕" w:eastAsia="맑은 고딕" w:hAnsi="맑은 고딕"/>
          <w:b/>
          <w:bCs/>
          <w:color w:val="1F3864"/>
          <w:sz w:val="18"/>
          <w:szCs w:val="18"/>
        </w:rPr>
        <w:t xml:space="preserve">[표 10-2] 성과 측정의 네 가지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분리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전 기준선, 집행 중 선행지표, 현장 전환지표, 최종 결과지표를 구분하여 관리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 고정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정의는 착수 시 문서로 확정하며, 변경 시 이력과 소급 재산출을 병기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원천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보고 수치는 고객 DB·집행 내역의 원천 기록으로 소급 검증 가능</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인과 한정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가격·시즌·분양조건·현장 인력·경쟁 현장 등 외부 요인이 존재하므로, 광고·분석만의 인과 효과를 단정하지 않음</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10.2 KPI 표준 정의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동일한 숫자를 보기 위해서는 지표의 정의부터 합의해야 합니다.</w:t>
      </w:r>
    </w:p>
    <w:p>
      <w:pPr>
        <w:keepNext/>
        <w:spacing w:after="90" w:before="220"/>
      </w:pPr>
      <w:r>
        <w:rPr>
          <w:rFonts w:ascii="맑은 고딕" w:cs="맑은 고딕" w:eastAsia="맑은 고딕" w:hAnsi="맑은 고딕"/>
          <w:b/>
          <w:bCs/>
          <w:color w:val="1F3864"/>
          <w:sz w:val="18"/>
          <w:szCs w:val="18"/>
        </w:rPr>
        <w:t xml:space="preserve">[표 10-3] 핵심 KPI의 표준 정의와 확정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8"/>
        <w:gridCol w:w="5414"/>
        <w:gridCol w:w="2816"/>
      </w:tblGrid>
      <w:tr>
        <w:trPr>
          <w:cantSplit/>
          <w:tblHeader/>
        </w:trPr>
        <w:tc>
          <w:tcPr>
            <w:tcW w:type="dxa" w:w="14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KPI</w:t>
            </w:r>
          </w:p>
        </w:tc>
        <w:tc>
          <w:tcPr>
            <w:tcW w:type="dxa" w:w="54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정의</w:t>
            </w:r>
          </w:p>
        </w:tc>
        <w:tc>
          <w:tcPr>
            <w:tcW w:type="dxa" w:w="28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계약 전 확정 사항</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중복·허위·연락 불가 등을 제외한, 합의 조건 충족 DB</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제외 기준, 판정 주체</w:t>
            </w:r>
          </w:p>
        </w:tc>
      </w:tr>
      <w:tr>
        <w:trPr>
          <w:cantSplit/>
          <w:tblHeader w:val="false"/>
        </w:trPr>
        <w:tc>
          <w:tcPr>
            <w:tcW w:type="dxa" w:w="14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연락시간</w:t>
            </w:r>
          </w:p>
        </w:tc>
        <w:tc>
          <w:tcPr>
            <w:tcW w:type="dxa" w:w="54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생성부터 최초 연락 시도까지의 경과 시간</w:t>
            </w:r>
          </w:p>
        </w:tc>
        <w:tc>
          <w:tcPr>
            <w:tcW w:type="dxa" w:w="28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근무시간 처리, 재배정 예외</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상담완료율</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 고객 ÷ 유효 DB</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 상태의 정의</w:t>
            </w:r>
          </w:p>
        </w:tc>
      </w:tr>
      <w:tr>
        <w:trPr>
          <w:cantSplit/>
          <w:tblHeader w:val="false"/>
        </w:trPr>
        <w:tc>
          <w:tcPr>
            <w:tcW w:type="dxa" w:w="14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실제방문율</w:t>
            </w:r>
          </w:p>
        </w:tc>
        <w:tc>
          <w:tcPr>
            <w:tcW w:type="dxa" w:w="54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방문 고객 ÷ 방문 예약 고객</w:t>
            </w:r>
          </w:p>
        </w:tc>
        <w:tc>
          <w:tcPr>
            <w:tcW w:type="dxa" w:w="28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확인 방식</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연결</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고객과 최초·주요 유입 소재의 연결</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귀속 기간, 복수 소재 처리</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10.3 8영역 지표 체계</w:t>
      </w:r>
    </w:p>
    <w:p>
      <w:pPr>
        <w:keepNext/>
        <w:spacing w:after="90" w:before="220"/>
      </w:pPr>
      <w:r>
        <w:rPr>
          <w:rFonts w:ascii="맑은 고딕" w:cs="맑은 고딕" w:eastAsia="맑은 고딕" w:hAnsi="맑은 고딕"/>
          <w:b/>
          <w:bCs/>
          <w:color w:val="1F3864"/>
          <w:sz w:val="18"/>
          <w:szCs w:val="18"/>
        </w:rPr>
        <w:t xml:space="preserve">[표 10-4] 영역별 핵심 지표와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444"/>
        <w:gridCol w:w="404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44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지표</w:t>
            </w:r>
          </w:p>
        </w:tc>
        <w:tc>
          <w:tcPr>
            <w:tcW w:type="dxa" w:w="40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투명성</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실집행률, 매체별 사용액, 잔액, 정산 일치율</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지급 예산이 실제 매체 집행과 일치하는가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반응</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노출·클릭·조회·CTR·CPC·사이트 행동</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소재와 타깃이 관심을 형성하는가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품질</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건수, 중복률, 유효 DB, 유효 DB당 비용</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가능한 실질 수요가 유입되는가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처리 품질</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 시간, 최초 연락시간, 미연락·지연률</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현장이 전환 기회를 놓치지 않는가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연결률, 상담완료율, 고감도율, 거절 사유 분포</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메시지와 상담이 고객의 문제를 해결하는가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방문예약률, 확인률, 노쇼율, 실방문률</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관심이 실제 행동으로 이동하는가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계약검토율, 계약률, 계약당 비용, 기여 경로</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사업 목표에 어느 정도 기여했는가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근거별·소재별·매체별·담당자별 개선 효과</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재사용 가능한 지식이 축적되는가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10.4 기준선과 목표 설정</w:t>
      </w:r>
    </w:p>
    <w:p>
      <w:pPr>
        <w:keepNext/>
        <w:spacing w:after="90" w:before="220"/>
      </w:pPr>
      <w:r>
        <w:rPr>
          <w:rFonts w:ascii="맑은 고딕" w:cs="맑은 고딕" w:eastAsia="맑은 고딕" w:hAnsi="맑은 고딕"/>
          <w:b/>
          <w:bCs/>
          <w:color w:val="1F3864"/>
          <w:sz w:val="18"/>
          <w:szCs w:val="18"/>
        </w:rPr>
        <w:t xml:space="preserve">[표 10-5] 기준선 설정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 방식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데이터 보유</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4~12주의 광고비·DB·유효 DB·연락·상담·방문·계약 데이터로 기준선 산정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데이터 부재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운영 2주를 측정 기간으로 설정한 후 목표 확정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목표 성격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절대 보장값이 아닌 </w:t>
            </w:r>
            <w:r>
              <w:rPr>
                <w:rFonts w:ascii="맑은 고딕" w:cs="맑은 고딕" w:eastAsia="맑은 고딕" w:hAnsi="맑은 고딕"/>
                <w:b/>
                <w:bCs/>
                <w:color w:val="1A1A1A"/>
                <w:sz w:val="18"/>
                <w:szCs w:val="18"/>
              </w:rPr>
              <w:t xml:space="preserve">개선 가설</w:t>
            </w:r>
            <w:r>
              <w:rPr>
                <w:rFonts w:ascii="맑은 고딕" w:cs="맑은 고딕" w:eastAsia="맑은 고딕" w:hAnsi="맑은 고딕"/>
                <w:color w:val="1A1A1A"/>
                <w:sz w:val="18"/>
                <w:szCs w:val="18"/>
              </w:rPr>
              <w:t xml:space="preserve">로 설정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목표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단계와 역할에 맞게 분리 설정. 단일 DB 단가로 일괄 평가하지 않음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변화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예산·분양조건·현장 인력·시즌 등 주요 변화를 변경 원장에 기록하여 성과 해석에 반영</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10.5 퍼널 병목 진단과 개선 판단</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퍼널 지표의 가치는 </w:t>
      </w:r>
      <w:r>
        <w:rPr>
          <w:rFonts w:ascii="맑은 고딕" w:cs="맑은 고딕" w:eastAsia="맑은 고딕" w:hAnsi="맑은 고딕"/>
          <w:b/>
          <w:bCs/>
          <w:i w:val="false"/>
          <w:iCs w:val="false"/>
          <w:color w:val="1A1A1A"/>
          <w:sz w:val="20"/>
          <w:szCs w:val="20"/>
        </w:rPr>
        <w:t xml:space="preserve">병목의 위치와 원인을 구분</w:t>
      </w:r>
      <w:r>
        <w:rPr>
          <w:rFonts w:ascii="맑은 고딕" w:cs="맑은 고딕" w:eastAsia="맑은 고딕" w:hAnsi="맑은 고딕"/>
          <w:b w:val="false"/>
          <w:bCs w:val="false"/>
          <w:i w:val="false"/>
          <w:iCs w:val="false"/>
          <w:color w:val="1A1A1A"/>
          <w:sz w:val="20"/>
          <w:szCs w:val="20"/>
        </w:rPr>
        <w:t xml:space="preserve">한다는 데 있습니다.</w:t>
      </w:r>
    </w:p>
    <w:p>
      <w:pPr>
        <w:keepNext/>
        <w:spacing w:after="90" w:before="220"/>
      </w:pPr>
      <w:r>
        <w:rPr>
          <w:rFonts w:ascii="맑은 고딕" w:cs="맑은 고딕" w:eastAsia="맑은 고딕" w:hAnsi="맑은 고딕"/>
          <w:b/>
          <w:bCs/>
          <w:color w:val="1F3864"/>
          <w:sz w:val="18"/>
          <w:szCs w:val="18"/>
        </w:rPr>
        <w:t xml:space="preserve">[표 10-6] 관찰 결과별 원인 추정과 우선 개선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874"/>
        <w:gridCol w:w="4059"/>
      </w:tblGrid>
      <w:tr>
        <w:trPr>
          <w:cantSplit/>
          <w:tblHeader/>
        </w:trPr>
        <w:tc>
          <w:tcPr>
            <w:tcW w:type="dxa" w:w="27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관찰 결과</w:t>
            </w:r>
          </w:p>
        </w:tc>
        <w:tc>
          <w:tcPr>
            <w:tcW w:type="dxa" w:w="287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가능한 원인</w:t>
            </w:r>
          </w:p>
        </w:tc>
        <w:tc>
          <w:tcPr>
            <w:tcW w:type="dxa" w:w="40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개선</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클릭은 높은데 유효 DB가 낮음</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후킹과 실제 정보의 불일치, 폼 품질</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 정합성, 질문 항목, 중복 필터</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DB는 높은데 상담완료가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지연, 시간대, 배정 과부하</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기준시간, 재배정, 후속 메시지 보조</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상담은 높은데 방문이 낮음</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저항, 가족 협의, 정보 부족</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자료, 방문 이유 설계, 일정 확인</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방문은 높은데 계약이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상품·가격·자금·경쟁 현장</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조건·상담·후속 제안 검토 (시행사 협의 안건)</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단가는 높지만 계약 기여가 큼</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고의도 검색 수요, 고가 타깃</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단가만으로 감액하지 않고 계약당 비용으로 판단</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발송은 많은데 방문이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대상·시점·메시지의 상태 불일치</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단계별 세분화, 발송 빈도 조정</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네 번째 행은 제3장 3.5의 원칙(운영 문제와 조건 문제의 구분)이 실제로 작동하는 지점입니다. 방문까지 도달했으나 계약이 발생하지 않는 병목은 광고로 해결되지 않으며, 당사는 이 경우 판촉 반복 대신 </w:t>
      </w:r>
      <w:r>
        <w:rPr>
          <w:rFonts w:ascii="맑은 고딕" w:cs="맑은 고딕" w:eastAsia="맑은 고딕" w:hAnsi="맑은 고딕"/>
          <w:b/>
          <w:bCs/>
          <w:i w:val="false"/>
          <w:iCs w:val="false"/>
          <w:color w:val="1A1A1A"/>
          <w:sz w:val="20"/>
          <w:szCs w:val="20"/>
        </w:rPr>
        <w:t xml:space="preserve">데이터를 근거로 시행사에 조건 검토를 안건화</w:t>
      </w:r>
      <w:r>
        <w:rPr>
          <w:rFonts w:ascii="맑은 고딕" w:cs="맑은 고딕" w:eastAsia="맑은 고딕" w:hAnsi="맑은 고딕"/>
          <w:b w:val="false"/>
          <w:bCs w:val="false"/>
          <w:i w:val="false"/>
          <w:iCs w:val="false"/>
          <w:color w:val="1A1A1A"/>
          <w:sz w:val="20"/>
          <w:szCs w:val="20"/>
        </w:rPr>
        <w:t xml:space="preserve">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기준선 없이는 병목을 지목하지 않습니다.</w:t>
      </w:r>
      <w:r>
        <w:rPr>
          <w:rFonts w:ascii="맑은 고딕" w:cs="맑은 고딕" w:eastAsia="맑은 고딕" w:hAnsi="맑은 고딕"/>
          <w:b w:val="false"/>
          <w:bCs w:val="false"/>
          <w:i w:val="false"/>
          <w:iCs w:val="false"/>
          <w:color w:val="1A1A1A"/>
          <w:sz w:val="20"/>
          <w:szCs w:val="20"/>
        </w:rPr>
        <w:t xml:space="preserve"> 전환율 20%가 좋은지 나쁜지는 기준선 없이 말할 수 없습니다. 계약 시 확정한 기준선(10.4)이 입력되기 전에는 단계별 실측 전환율만 제시하고 판정을 유보합니다 — 근거 없는 병목 지목은 잘못된 예산 배분으로 직결되기 때문입니다. 같은 이유로 분모가 최소 표본에 미달하는 단계는 개별적으로 판정을 유보합니다.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병목 추정은 현장 반응과 대조되어 확신 수준이 조정됩니다. 예컨대 상담→방문 병목에 가격 거절 비중이 함께 높으면 추정이 강화되지만, </w:t>
      </w:r>
      <w:r>
        <w:rPr>
          <w:rFonts w:ascii="맑은 고딕" w:cs="맑은 고딕" w:eastAsia="맑은 고딕" w:hAnsi="맑은 고딕"/>
          <w:b/>
          <w:bCs/>
          <w:i w:val="false"/>
          <w:iCs w:val="false"/>
          <w:color w:val="1A1A1A"/>
          <w:sz w:val="20"/>
          <w:szCs w:val="20"/>
        </w:rPr>
        <w:t xml:space="preserve">가격 판정(5.8 ①)이 '긍정'인데 가격 거절이 많다면</w:t>
      </w:r>
      <w:r>
        <w:rPr>
          <w:rFonts w:ascii="맑은 고딕" w:cs="맑은 고딕" w:eastAsia="맑은 고딕" w:hAnsi="맑은 고딕"/>
          <w:b w:val="false"/>
          <w:bCs w:val="false"/>
          <w:i w:val="false"/>
          <w:iCs w:val="false"/>
          <w:color w:val="1A1A1A"/>
          <w:sz w:val="20"/>
          <w:szCs w:val="20"/>
        </w:rPr>
        <w:t xml:space="preserve"> 가격 자체보다 총취득원가 설명 방식의 문제일 수 있으므로 그 어긋남을 그대로 표기하고 양쪽을 함께 점검합니다.</w:t>
      </w:r>
    </w:p>
    <w:p>
      <w:pPr>
        <w:keepNext/>
        <w:spacing w:after="90" w:before="220"/>
      </w:pPr>
      <w:r>
        <w:rPr>
          <w:rFonts w:ascii="맑은 고딕" w:cs="맑은 고딕" w:eastAsia="맑은 고딕" w:hAnsi="맑은 고딕"/>
          <w:b/>
          <w:bCs/>
          <w:color w:val="1F3864"/>
          <w:sz w:val="18"/>
          <w:szCs w:val="18"/>
        </w:rPr>
        <w:t xml:space="preserve">[표 10-7] 거절·이탈 패턴의 운영 반영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50"/>
        <w:gridCol w:w="4283"/>
      </w:tblGrid>
      <w:tr>
        <w:trPr>
          <w:cantSplit/>
          <w:tblHeader/>
        </w:trPr>
        <w:tc>
          <w:tcPr>
            <w:tcW w:type="dxa" w:w="12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관찰 패턴</w:t>
            </w:r>
          </w:p>
        </w:tc>
        <w:tc>
          <w:tcPr>
            <w:tcW w:type="dxa" w:w="4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점검 항목</w:t>
            </w:r>
          </w:p>
        </w:tc>
        <w:tc>
          <w:tcPr>
            <w:tcW w:type="dxa" w:w="428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다음 운영 반영</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거절</w:t>
            </w:r>
          </w:p>
        </w:tc>
        <w:tc>
          <w:tcPr>
            <w:tcW w:type="dxa" w:w="4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설명 부족 여부</w:t>
            </w:r>
          </w:p>
        </w:tc>
        <w:tc>
          <w:tcPr>
            <w:tcW w:type="dxa" w:w="428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 콘텐츠, 상담 순서 개선</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미방문</w:t>
            </w:r>
          </w:p>
        </w:tc>
        <w:tc>
          <w:tcPr>
            <w:tcW w:type="dxa" w:w="4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예약 후 신뢰·리마인드 부족 여부</w:t>
            </w:r>
          </w:p>
        </w:tc>
        <w:tc>
          <w:tcPr>
            <w:tcW w:type="dxa" w:w="428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콘텐츠, 발송 시점 조정</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지연</w:t>
            </w:r>
          </w:p>
        </w:tc>
        <w:tc>
          <w:tcPr>
            <w:tcW w:type="dxa" w:w="4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광고가 아닌 운영 병목으로 분류</w:t>
            </w:r>
          </w:p>
        </w:tc>
        <w:tc>
          <w:tcPr>
            <w:tcW w:type="dxa" w:w="428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배정·알림·예외 처리 규칙 개선</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학습과 최적화는 전통적 대행 구조에 존재하지 않는 마지막 두 단계입니다. DB 전달에서 업무가 종료되는 구조는 결과 데이터를 보유하지 못하므로 학습이 불가능하고, 학습이 없는 구조의 개선은 소재 교체 수준에 머무릅니다.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체계에서 측정의 목적은 평가가 아니라 개선입니다. 병목 진단 결과는 주간 운영 사이클(제12장)을 통해 다음 주 운영에 반영되며, 거절 사유 데이터는 판매 논리(제6장)와 콘텐츠(제7장)의 갱신 입력이 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측정 체계와 짝을 이루는 것이 예산의 투명성이며, 제11장의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제11장. 광고비 투명성</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광고비는 견적서가 아니라 실집행 원장으로 증빙합니다.</w:t>
      </w:r>
    </w:p>
    <w:p>
      <w:pPr>
        <w:keepNext/>
        <w:spacing w:after="90" w:before="220"/>
      </w:pPr>
      <w:r>
        <w:rPr>
          <w:rFonts w:ascii="맑은 고딕" w:cs="맑은 고딕" w:eastAsia="맑은 고딕" w:hAnsi="맑은 고딕"/>
          <w:b/>
          <w:bCs/>
          <w:color w:val="1F3864"/>
          <w:sz w:val="18"/>
          <w:szCs w:val="18"/>
        </w:rPr>
        <w:t xml:space="preserve">[표 11-1]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총액 견적 방식에서는 실제 매체 집행액과 잔액을 확인할 수 없고, 업체 간 동일 조건 비교가 불가능하다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수수료·콘텐츠 제작비·매체비가 하나의 금액으로 혼재되기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 10%·실집행 90%·제작비 별도의 분리 구조(11.2~11.3), 지원금의 실집행 등록(11.4), 공개 항목 표준(11.5), 종료 정산(11.6)을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예산의 사용처와 고객 결과가 연결되어 검증되고, 동일 조건의 업체 비교가 가능해진다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11.1 투명성의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광고비를 수령했다는 사실만 증빙하지 않습니다. 현장이 지급한 금액이 어떤 기준으로 운영수수료와 콘텐츠 제작비로 구분됐고, 실제로 어느 매체·캠페인·소재에 사용됐으며, 얼마가 잔여하는지를 확인 가능하게 관리합니다.</w:t>
      </w:r>
    </w:p>
    <w:p>
      <w:pPr>
        <w:keepNext/>
        <w:spacing w:after="90" w:before="220"/>
      </w:pPr>
      <w:r>
        <w:rPr>
          <w:rFonts w:ascii="맑은 고딕" w:cs="맑은 고딕" w:eastAsia="맑은 고딕" w:hAnsi="맑은 고딕"/>
          <w:b/>
          <w:bCs/>
          <w:color w:val="1F3864"/>
          <w:sz w:val="18"/>
          <w:szCs w:val="18"/>
        </w:rPr>
        <w:t xml:space="preserve">[표 11-2] 예산 관리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6884"/>
      </w:tblGrid>
      <w:tr>
        <w:trPr>
          <w:cantSplit/>
          <w:tblHeader/>
        </w:trPr>
        <w:tc>
          <w:tcPr>
            <w:tcW w:type="dxa" w:w="27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구분</w:t>
            </w:r>
          </w:p>
        </w:tc>
        <w:tc>
          <w:tcPr>
            <w:tcW w:type="dxa" w:w="688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운영예산</w:t>
            </w:r>
          </w:p>
        </w:tc>
        <w:tc>
          <w:tcPr>
            <w:tcW w:type="dxa" w:w="68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기준 총액 (부담금·지원금 구분 포함)</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w:t>
            </w:r>
          </w:p>
        </w:tc>
        <w:tc>
          <w:tcPr>
            <w:tcW w:type="dxa" w:w="68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기준과 금액</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집행액</w:t>
            </w:r>
          </w:p>
        </w:tc>
        <w:tc>
          <w:tcPr>
            <w:tcW w:type="dxa" w:w="68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실제 사용 금액, 일별 사용 내역</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잔여 광고비</w:t>
            </w:r>
          </w:p>
        </w:tc>
        <w:tc>
          <w:tcPr>
            <w:tcW w:type="dxa" w:w="68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환불·이월·정산 구분</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11-3] 확인 수단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8"/>
        <w:gridCol w:w="4753"/>
        <w:gridCol w:w="3037"/>
      </w:tblGrid>
      <w:tr>
        <w:trPr>
          <w:cantSplit/>
          <w:tblHeader/>
        </w:trPr>
        <w:tc>
          <w:tcPr>
            <w:tcW w:type="dxa" w:w="184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수단</w:t>
            </w:r>
          </w:p>
        </w:tc>
        <w:tc>
          <w:tcPr>
            <w:tcW w:type="dxa" w:w="47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c>
          <w:tcPr>
            <w:tcW w:type="dxa" w:w="30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주기</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대시보드</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예산·실집행·잔액·매체·성과·고객 상태</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상시</w:t>
            </w:r>
          </w:p>
        </w:tc>
      </w:tr>
      <w:tr>
        <w:trPr>
          <w:cantSplit/>
          <w:tblHeader w:val="false"/>
        </w:trPr>
        <w:tc>
          <w:tcPr>
            <w:tcW w:type="dxa" w:w="18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리포트</w:t>
            </w:r>
          </w:p>
        </w:tc>
        <w:tc>
          <w:tcPr>
            <w:tcW w:type="dxa" w:w="47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캠페인·소재·기간·지출·성과</w:t>
            </w:r>
          </w:p>
        </w:tc>
        <w:tc>
          <w:tcPr>
            <w:tcW w:type="dxa" w:w="30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주간·월간·종료</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화면</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집행·결제·권한·캠페인 설정</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정책과 계약에 따름</w:t>
            </w:r>
          </w:p>
        </w:tc>
      </w:tr>
      <w:tr>
        <w:trPr>
          <w:cantSplit/>
          <w:tblHeader w:val="false"/>
        </w:trPr>
        <w:tc>
          <w:tcPr>
            <w:tcW w:type="dxa" w:w="18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 내역</w:t>
            </w:r>
          </w:p>
        </w:tc>
        <w:tc>
          <w:tcPr>
            <w:tcW w:type="dxa" w:w="47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결제일·금액·결제자·환불·크레딧</w:t>
            </w:r>
          </w:p>
        </w:tc>
        <w:tc>
          <w:tcPr>
            <w:tcW w:type="dxa" w:w="30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결제 방식에 따름</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정산서</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계약·수수료·제작비·실집행·잔액</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핵심은 </w:t>
      </w:r>
      <w:r>
        <w:rPr>
          <w:rFonts w:ascii="맑은 고딕" w:cs="맑은 고딕" w:eastAsia="맑은 고딕" w:hAnsi="맑은 고딕"/>
          <w:b/>
          <w:bCs/>
          <w:i w:val="false"/>
          <w:iCs w:val="false"/>
          <w:color w:val="1A1A1A"/>
          <w:sz w:val="20"/>
          <w:szCs w:val="20"/>
        </w:rPr>
        <w:t xml:space="preserve">Meta·Google·YouTube·LMS의 집행액을 광고계정·결제·플랫폼 리포트와 대조 검증할 수 있다</w:t>
      </w:r>
      <w:r>
        <w:rPr>
          <w:rFonts w:ascii="맑은 고딕" w:cs="맑은 고딕" w:eastAsia="맑은 고딕" w:hAnsi="맑은 고딕"/>
          <w:b w:val="false"/>
          <w:bCs w:val="false"/>
          <w:i w:val="false"/>
          <w:iCs w:val="false"/>
          <w:color w:val="1A1A1A"/>
          <w:sz w:val="20"/>
          <w:szCs w:val="20"/>
        </w:rPr>
        <w:t xml:space="preserve">는 점입니다. 대시보드 수치는 원천 자료와 대사(對査) 가능해야 하며, 이 대사 가능성 자체가 검수 항목입니다(제13장).</w:t>
      </w:r>
    </w:p>
    <w:p>
      <w:pPr>
        <w:pStyle w:val="Heading2"/>
        <w:keepNext/>
        <w:spacing w:after="140" w:before="300"/>
      </w:pPr>
      <w:r>
        <w:rPr>
          <w:rFonts w:ascii="맑은 고딕" w:cs="맑은 고딕" w:eastAsia="맑은 고딕" w:hAnsi="맑은 고딕"/>
          <w:b/>
          <w:bCs/>
          <w:color w:val="1A1A1A"/>
          <w:sz w:val="23"/>
          <w:szCs w:val="23"/>
        </w:rPr>
        <w:t xml:space="preserve">11.2 비용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표준 조건은 부가세 제외 광고운영예산의 10%를 운영수수료로, 90%를 실제 매체 집행 예산으로 구분하는 것입니다.</w:t>
      </w:r>
    </w:p>
    <w:p>
      <w:pPr>
        <w:keepNext/>
        <w:spacing w:after="90" w:before="220"/>
      </w:pPr>
      <w:r>
        <w:rPr>
          <w:rFonts w:ascii="맑은 고딕" w:cs="맑은 고딕" w:eastAsia="맑은 고딕" w:hAnsi="맑은 고딕"/>
          <w:b/>
          <w:bCs/>
          <w:color w:val="1F3864"/>
          <w:sz w:val="18"/>
          <w:szCs w:val="18"/>
        </w:rPr>
        <w:t xml:space="preserve">[표 11-4] 광고운영예산 1,000만원 예시 (부가세 제외, 비용 구조 설명용)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9"/>
        <w:gridCol w:w="1572"/>
        <w:gridCol w:w="1150"/>
        <w:gridCol w:w="4327"/>
      </w:tblGrid>
      <w:tr>
        <w:trPr>
          <w:cantSplit/>
          <w:tblHeader/>
        </w:trPr>
        <w:tc>
          <w:tcPr>
            <w:tcW w:type="dxa" w:w="25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157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금액</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비율</w:t>
            </w:r>
          </w:p>
        </w:tc>
        <w:tc>
          <w:tcPr>
            <w:tcW w:type="dxa" w:w="43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비고</w:t>
            </w:r>
          </w:p>
        </w:tc>
      </w:tr>
      <w:tr>
        <w:trPr>
          <w:cantSplit/>
          <w:tblHeader w:val="false"/>
        </w:trPr>
        <w:tc>
          <w:tcPr>
            <w:tcW w:type="dxa" w:w="25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광고운영예산</w:t>
            </w:r>
          </w:p>
        </w:tc>
        <w:tc>
          <w:tcPr>
            <w:tcW w:type="dxa" w:w="15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10,000,000원</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w:t>
            </w:r>
          </w:p>
        </w:tc>
        <w:tc>
          <w:tcPr>
            <w:tcW w:type="dxa" w:w="43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 </w:t>
            </w:r>
          </w:p>
        </w:tc>
      </w:tr>
      <w:tr>
        <w:trPr>
          <w:cantSplit/>
          <w:tblHeader w:val="false"/>
        </w:trPr>
        <w:tc>
          <w:tcPr>
            <w:tcW w:type="dxa" w:w="25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w:t>
            </w:r>
          </w:p>
        </w:tc>
        <w:tc>
          <w:tcPr>
            <w:tcW w:type="dxa" w:w="15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1,000,000원</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w:t>
            </w:r>
          </w:p>
        </w:tc>
        <w:tc>
          <w:tcPr>
            <w:tcW w:type="dxa" w:w="43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범위는 계약서에 명시</w:t>
            </w:r>
          </w:p>
        </w:tc>
      </w:tr>
      <w:tr>
        <w:trPr>
          <w:cantSplit/>
          <w:tblHeader w:val="false"/>
        </w:trPr>
        <w:tc>
          <w:tcPr>
            <w:tcW w:type="dxa" w:w="25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 예산</w:t>
            </w:r>
          </w:p>
        </w:tc>
        <w:tc>
          <w:tcPr>
            <w:tcW w:type="dxa" w:w="15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9,000,000원</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w:t>
            </w:r>
          </w:p>
        </w:tc>
        <w:tc>
          <w:tcPr>
            <w:tcW w:type="dxa" w:w="43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매체·캠페인별 사용 내역 공개</w:t>
            </w:r>
          </w:p>
        </w:tc>
      </w:tr>
      <w:tr>
        <w:trPr>
          <w:cantSplit/>
          <w:tblHeader w:val="false"/>
        </w:trPr>
        <w:tc>
          <w:tcPr>
            <w:tcW w:type="dxa" w:w="25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제작비</w:t>
            </w:r>
          </w:p>
        </w:tc>
        <w:tc>
          <w:tcPr>
            <w:tcW w:type="dxa" w:w="15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견적</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c>
          <w:tcPr>
            <w:tcW w:type="dxa" w:w="43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영상·디자인·리포트·정보 허브 등</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참고로 동일한 1,000만원 예산에서 수수료가 30%인 구조와 비교하면 실제 매체 집행 가능 금액은 700만원 대 900만원으로 200만원의 차이가 발생합니다. 다만 이 비교는 단순 산술 예시이며, 타사의 제작·운영 범위나 성과를 평가하는 근거로 사용될 수 없습니다. 수수료율은 구조와 함께 비교되어야 합니다(4.6).</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예시는 확정 견적이 아닙니다. 부가세, 최소 운영비, 결제수수료, 외부 솔루션비, 환율·매체 정책은 계약 전에 확정합니다.</w:t>
      </w:r>
    </w:p>
    <w:p>
      <w:pPr>
        <w:pStyle w:val="Heading2"/>
        <w:keepNext/>
        <w:spacing w:after="140" w:before="300"/>
      </w:pPr>
      <w:r>
        <w:rPr>
          <w:rFonts w:ascii="맑은 고딕" w:cs="맑은 고딕" w:eastAsia="맑은 고딕" w:hAnsi="맑은 고딕"/>
          <w:b/>
          <w:bCs/>
          <w:color w:val="1A1A1A"/>
          <w:sz w:val="23"/>
          <w:szCs w:val="23"/>
        </w:rPr>
        <w:t xml:space="preserve">11.3 콘텐츠 제작비 분리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운영비와 콘텐츠 제작비는 원가 구조와 업무 성격이 다르므로 처음부터 분리합니다.</w:t>
      </w:r>
    </w:p>
    <w:p>
      <w:pPr>
        <w:keepNext/>
        <w:spacing w:after="90" w:before="220"/>
      </w:pPr>
      <w:r>
        <w:rPr>
          <w:rFonts w:ascii="맑은 고딕" w:cs="맑은 고딕" w:eastAsia="맑은 고딕" w:hAnsi="맑은 고딕"/>
          <w:b/>
          <w:bCs/>
          <w:color w:val="1F3864"/>
          <w:sz w:val="18"/>
          <w:szCs w:val="18"/>
        </w:rPr>
        <w:t xml:space="preserve">[표 11-5] 운영수수료와 제작비의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580"/>
        <w:gridCol w:w="390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45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 운영수수료 (10%)</w:t>
            </w:r>
          </w:p>
        </w:tc>
        <w:tc>
          <w:tcPr>
            <w:tcW w:type="dxa" w:w="39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별도 콘텐츠 제작비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주요 범위</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계정·캠페인 세팅, 집행, 최적화, 리포트, 운영 회의</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영상·촬영·디자인·리포트·정보 허브·3D 등</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방식</w:t>
            </w:r>
          </w:p>
        </w:tc>
        <w:tc>
          <w:tcPr>
            <w:tcW w:type="dxa" w:w="45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광고운영예산의 10%</w:t>
            </w:r>
          </w:p>
        </w:tc>
        <w:tc>
          <w:tcPr>
            <w:tcW w:type="dxa" w:w="39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품목·수량·난이도·수정 횟수·납기별 견적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 방식</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계약과 예산 승인</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착수 전 개별 산출내역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권리·원본</w:t>
            </w:r>
          </w:p>
        </w:tc>
        <w:tc>
          <w:tcPr>
            <w:tcW w:type="dxa" w:w="45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광고계정·운영자료 기준</w:t>
            </w:r>
          </w:p>
        </w:tc>
        <w:tc>
          <w:tcPr>
            <w:tcW w:type="dxa" w:w="39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소스파일·초상권·음원·사용기간 별도 명시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추가 비용</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범위 초과 시 사전 협의</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추가 촬영·대량 수정·긴급 납기 등 사전 협의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분리가 발주처를 보호하는 이유는 명확합니다. 제작비가 운영비에 혼재되면 </w:t>
      </w:r>
      <w:r>
        <w:rPr>
          <w:rFonts w:ascii="맑은 고딕" w:cs="맑은 고딕" w:eastAsia="맑은 고딕" w:hAnsi="맑은 고딕"/>
          <w:b/>
          <w:bCs/>
          <w:i w:val="false"/>
          <w:iCs w:val="false"/>
          <w:color w:val="1A1A1A"/>
          <w:sz w:val="20"/>
          <w:szCs w:val="20"/>
        </w:rPr>
        <w:t xml:space="preserve">"실제 광고에 사용된 금액"을 산출할 수 없게 되고</w:t>
      </w:r>
      <w:r>
        <w:rPr>
          <w:rFonts w:ascii="맑은 고딕" w:cs="맑은 고딕" w:eastAsia="맑은 고딕" w:hAnsi="맑은 고딕"/>
          <w:b w:val="false"/>
          <w:bCs w:val="false"/>
          <w:i w:val="false"/>
          <w:iCs w:val="false"/>
          <w:color w:val="1A1A1A"/>
          <w:sz w:val="20"/>
          <w:szCs w:val="20"/>
        </w:rPr>
        <w:t xml:space="preserve">, 그 시점부터 매체 효율의 평가, 업체 간 비교, 정산 검증이 모두 불가능해집니다.</w:t>
      </w:r>
    </w:p>
    <w:p>
      <w:pPr>
        <w:pStyle w:val="Heading2"/>
        <w:keepNext/>
        <w:spacing w:after="140" w:before="300"/>
      </w:pPr>
      <w:r>
        <w:rPr>
          <w:rFonts w:ascii="맑은 고딕" w:cs="맑은 고딕" w:eastAsia="맑은 고딕" w:hAnsi="맑은 고딕"/>
          <w:b/>
          <w:bCs/>
          <w:color w:val="1A1A1A"/>
          <w:sz w:val="23"/>
          <w:szCs w:val="23"/>
        </w:rPr>
        <w:t xml:space="preserve">11.4 1+1 광고비 지원 구조의 운영</w:t>
      </w:r>
    </w:p>
    <w:p>
      <w:pPr>
        <w:keepNext/>
        <w:spacing w:after="90" w:before="220"/>
      </w:pPr>
      <w:r>
        <w:rPr>
          <w:rFonts w:ascii="맑은 고딕" w:cs="맑은 고딕" w:eastAsia="맑은 고딕" w:hAnsi="맑은 고딕"/>
          <w:b/>
          <w:bCs/>
          <w:color w:val="1F3864"/>
          <w:sz w:val="18"/>
          <w:szCs w:val="18"/>
        </w:rPr>
        <w:t xml:space="preserve">[표 11-6] 지원 구조 운영 6원칙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별도 등록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부담금과 지원금을 구분 등록하여 주체별 기여 예산을 확인 가능하게 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사전 승인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배분 계획을 사전 승인받고 실제 집행과의 차이를 기록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실집행 연결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지원받은 광고비까지 견적서상 금액으로 남기지 않고 실제 집행 예산으로 등록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내역 공개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일별·캠페인별 사용 내역과 잔여 예산을 확인 가능하게 함</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성과 연결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지원금으로 유입된 DB도 캠페인·소재와 연결하여 상담·방문·계약 결과를 분석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종료 정산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미집행 잔액의 환급·이월·차기 집행을 계약 기준에 따라 정산</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지원 제도의 취지(현장 참여 촉진)를 유지하는 방법은 통제를 제거하는 것이 아니라 </w:t>
      </w:r>
      <w:r>
        <w:rPr>
          <w:rFonts w:ascii="맑은 고딕" w:cs="맑은 고딕" w:eastAsia="맑은 고딕" w:hAnsi="맑은 고딕"/>
          <w:b/>
          <w:bCs/>
          <w:i w:val="false"/>
          <w:iCs w:val="false"/>
          <w:color w:val="1A1A1A"/>
          <w:sz w:val="20"/>
          <w:szCs w:val="20"/>
        </w:rPr>
        <w:t xml:space="preserve">추적을 가능하게 하는 것</w:t>
      </w:r>
      <w:r>
        <w:rPr>
          <w:rFonts w:ascii="맑은 고딕" w:cs="맑은 고딕" w:eastAsia="맑은 고딕" w:hAnsi="맑은 고딕"/>
          <w:b w:val="false"/>
          <w:bCs w:val="false"/>
          <w:i w:val="false"/>
          <w:iCs w:val="false"/>
          <w:color w:val="1A1A1A"/>
          <w:sz w:val="20"/>
          <w:szCs w:val="20"/>
        </w:rPr>
        <w:t xml:space="preserve">입니다. 지원 주체는 자신의 지원금이 어느 매체에서 어떤 고객을 만들었는지 확인할 수 있어야 합니다.</w:t>
      </w:r>
    </w:p>
    <w:p>
      <w:pPr>
        <w:pStyle w:val="Heading2"/>
        <w:keepNext/>
        <w:spacing w:after="140" w:before="300"/>
      </w:pPr>
      <w:r>
        <w:rPr>
          <w:rFonts w:ascii="맑은 고딕" w:cs="맑은 고딕" w:eastAsia="맑은 고딕" w:hAnsi="맑은 고딕"/>
          <w:b/>
          <w:bCs/>
          <w:color w:val="1A1A1A"/>
          <w:sz w:val="23"/>
          <w:szCs w:val="23"/>
        </w:rPr>
        <w:t xml:space="preserve">11.5 공개 항목</w:t>
      </w:r>
    </w:p>
    <w:p>
      <w:pPr>
        <w:keepNext/>
        <w:spacing w:after="90" w:before="220"/>
      </w:pPr>
      <w:r>
        <w:rPr>
          <w:rFonts w:ascii="맑은 고딕" w:cs="맑은 고딕" w:eastAsia="맑은 고딕" w:hAnsi="맑은 고딕"/>
          <w:b/>
          <w:bCs/>
          <w:color w:val="1F3864"/>
          <w:sz w:val="18"/>
          <w:szCs w:val="18"/>
        </w:rPr>
        <w:t xml:space="preserve">[표 11-7] 광고비·성과 공개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세부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계약·예산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계약 금액, 광고운영예산, 현장 부담금, 지원금, 부가세, 별도 제작비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산정 기준, 추가 서비스 비용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 금액, 매체·캠페인·소재·일별 사용 금액, 집행 기간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잔액·정산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 내역, 사용액, 잔여 광고비, 종료 후 정산·이월 기준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노출·클릭·조회·전화·상담 신청·DB·DB당 비용</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성과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 완료·방문 예약·실방문·계약 검토·계약</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품질</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중복률, 최초 연락시간, 연락 지연, 미처리, 거절 사유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마지막 두 행이 본 장의 핵심입니다. 광고비 투명성은 "예산이 어디에 사용됐는가"에서 종료되지 않고 </w:t>
      </w:r>
      <w:r>
        <w:rPr>
          <w:rFonts w:ascii="맑은 고딕" w:cs="맑은 고딕" w:eastAsia="맑은 고딕" w:hAnsi="맑은 고딕"/>
          <w:b/>
          <w:bCs/>
          <w:i w:val="false"/>
          <w:iCs w:val="false"/>
          <w:color w:val="1A1A1A"/>
          <w:sz w:val="20"/>
          <w:szCs w:val="20"/>
        </w:rPr>
        <w:t xml:space="preserve">"그 예산이 어떤 고객 결과를 만들었는가"까지 연결될 때</w:t>
      </w:r>
      <w:r>
        <w:rPr>
          <w:rFonts w:ascii="맑은 고딕" w:cs="맑은 고딕" w:eastAsia="맑은 고딕" w:hAnsi="맑은 고딕"/>
          <w:b w:val="false"/>
          <w:bCs w:val="false"/>
          <w:i w:val="false"/>
          <w:iCs w:val="false"/>
          <w:color w:val="1A1A1A"/>
          <w:sz w:val="20"/>
          <w:szCs w:val="20"/>
        </w:rPr>
        <w:t xml:space="preserve"> 완성됩니다.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예산 원장과 고객 원장이 동일한 체계에 존재한다는 것, 이것이 당사가 광고대행이 아니라 운영 시스템인 이유의 재무적 표현입니다.</w:t>
      </w:r>
    </w:p>
    <w:p>
      <w:pPr>
        <w:pStyle w:val="Heading2"/>
        <w:keepNext/>
        <w:spacing w:after="140" w:before="300"/>
      </w:pPr>
      <w:r>
        <w:rPr>
          <w:rFonts w:ascii="맑은 고딕" w:cs="맑은 고딕" w:eastAsia="맑은 고딕" w:hAnsi="맑은 고딕"/>
          <w:b/>
          <w:bCs/>
          <w:color w:val="1A1A1A"/>
          <w:sz w:val="23"/>
          <w:szCs w:val="23"/>
        </w:rPr>
        <w:t xml:space="preserve">11.6 종료 정산</w:t>
      </w:r>
    </w:p>
    <w:p>
      <w:pPr>
        <w:keepNext/>
        <w:spacing w:after="90" w:before="220"/>
      </w:pPr>
      <w:r>
        <w:rPr>
          <w:rFonts w:ascii="맑은 고딕" w:cs="맑은 고딕" w:eastAsia="맑은 고딕" w:hAnsi="맑은 고딕"/>
          <w:b/>
          <w:bCs/>
          <w:color w:val="1F3864"/>
          <w:sz w:val="18"/>
          <w:szCs w:val="18"/>
        </w:rPr>
        <w:t xml:space="preserve">[표 11-8] 종료 시 정산·인계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정산 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수행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대사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금액·수수료·제작비·실집행액·잔액·부가세의 대사와 정산서 제출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정리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권한·소유·결제 수단·잔여 예산 처리</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체계 인계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캠페인·소재·전환 설정·유입 추적 체계의 최종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처리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DB 내보내기, 개인정보 보관·반환·삭제·파기 확인 (제14장)</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총괄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대비 결과, 외부 변수, 기여 한계, 개선 과제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11.7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종료 정산은 서류 절차가 아니라, 발주처가 연장·확대·종료의 의사결정을 데이터 위에서 내리게 하는 최종 산출물입니다.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여기까지가 운영의 내용이며, 이 운영이 90일 동안 어떤 순서와 승인 절차로 진행되는지가 제12장의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제12장. 90일 운영 프로세스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90일은 집행 기간이 아니라, 승인 게이트로 통제되는 학습 구간입니다.</w:t>
      </w:r>
    </w:p>
    <w:p>
      <w:pPr>
        <w:keepNext/>
        <w:spacing w:after="90" w:before="220"/>
      </w:pPr>
      <w:r>
        <w:rPr>
          <w:rFonts w:ascii="맑은 고딕" w:cs="맑은 고딕" w:eastAsia="맑은 고딕" w:hAnsi="맑은 고딕"/>
          <w:b/>
          <w:bCs/>
          <w:color w:val="1F3864"/>
          <w:sz w:val="18"/>
          <w:szCs w:val="18"/>
        </w:rPr>
        <w:t xml:space="preserve">[표 12-1]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준비 없이 시작한 광고는 추적·표현·운영 기준의 부재로 초기 예산을 소모한다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전에 확정해야 할 기준(데이터·분석·추적·운영·예산)이 관행적으로 생략되기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5개 필수 확인(12.2) → 6단계 로드맵(12.3) → 주간 사이클(12.4) → 승인 게이트(12.5)로 진행을 통제한다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5주차에 표준 운영이 개시되고, 90일 종료 시 연장·확장 판단의 검증된 근거가 확보된다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12.1 추진 기본원칙</w:t>
      </w:r>
    </w:p>
    <w:p>
      <w:pPr>
        <w:keepNext/>
        <w:spacing w:after="90" w:before="220"/>
      </w:pPr>
      <w:r>
        <w:rPr>
          <w:rFonts w:ascii="맑은 고딕" w:cs="맑은 고딕" w:eastAsia="맑은 고딕" w:hAnsi="맑은 고딕"/>
          <w:b/>
          <w:bCs/>
          <w:color w:val="1F3864"/>
          <w:sz w:val="18"/>
          <w:szCs w:val="18"/>
        </w:rPr>
        <w:t xml:space="preserve">[표 12-2] 6대 추진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1"/>
        <w:gridCol w:w="7507"/>
      </w:tblGrid>
      <w:tr>
        <w:trPr>
          <w:cantSplit/>
          <w:tblHeader/>
        </w:trPr>
        <w:tc>
          <w:tcPr>
            <w:tcW w:type="dxa" w:w="213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50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가용성 우선 확인</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자료와 데이터 가용성을 먼저 확인하고 분석 가능 범위와 한계를 확정한다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근거 선행</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근거가 확정되기 전에 가격 상승·개발호재 문구를 광고에 사용하지 않는다</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집행 전 검수</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광고계정·예산·전환 설정·개인정보·DB 배정 규칙을 집행 전에 검수한다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단계별 콘텐츠 관리</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콘텐츠는 메시지 → 근거 → 표현 → 제작 → 최종 승인의 단계로 관리한다</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주간 결합 분석</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성과와 현장 상담 성과를 주간 단위로 결합해 예산과 소재를 조정한다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종료 정산</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 매체비·잔액·산출물·계정·고객 데이터를 계약 기준에 따라 정산한다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12.2 광고 시작 전 필수 확인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다음 다섯 영역의 기준이 합의되기 전에는 계약된 광고 운영을 시작하지 않습니다.</w:t>
      </w:r>
    </w:p>
    <w:p>
      <w:pPr>
        <w:keepNext/>
        <w:spacing w:after="90" w:before="220"/>
      </w:pPr>
      <w:r>
        <w:rPr>
          <w:rFonts w:ascii="맑은 고딕" w:cs="맑은 고딕" w:eastAsia="맑은 고딕" w:hAnsi="맑은 고딕"/>
          <w:b/>
          <w:bCs/>
          <w:color w:val="1F3864"/>
          <w:sz w:val="18"/>
          <w:szCs w:val="18"/>
        </w:rPr>
        <w:t xml:space="preserve">[표 12-3] 집행 전 5대 확인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5"/>
        <w:gridCol w:w="5663"/>
        <w:gridCol w:w="2650"/>
      </w:tblGrid>
      <w:tr>
        <w:trPr>
          <w:cantSplit/>
          <w:tblHeader/>
        </w:trPr>
        <w:tc>
          <w:tcPr>
            <w:tcW w:type="dxa" w:w="13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566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시행사와 확인하는 기준</w:t>
            </w:r>
          </w:p>
        </w:tc>
        <w:tc>
          <w:tcPr>
            <w:tcW w:type="dxa" w:w="26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 미충족 시 조치</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확보</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현장별 커버리지표, 공식·조건부·대체 데이터 구분</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 재설계</w:t>
            </w:r>
          </w:p>
        </w:tc>
      </w:tr>
      <w:tr>
        <w:trPr>
          <w:cantSplit/>
          <w:tblHeader w:val="false"/>
        </w:trPr>
        <w:tc>
          <w:tcPr>
            <w:tcW w:type="dxa" w:w="13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신뢰</w:t>
            </w:r>
          </w:p>
        </w:tc>
        <w:tc>
          <w:tcPr>
            <w:tcW w:type="dxa" w:w="56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근거원장·산식·반대근거·기준일</w:t>
            </w:r>
          </w:p>
        </w:tc>
        <w:tc>
          <w:tcPr>
            <w:tcW w:type="dxa" w:w="26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판매 주장 제외</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추적</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DB의 캠페인·소재·담당자 연결 기준</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추적 구조 확정 후 집행</w:t>
            </w:r>
          </w:p>
        </w:tc>
      </w:tr>
      <w:tr>
        <w:trPr>
          <w:cantSplit/>
          <w:tblHeader w:val="false"/>
        </w:trPr>
        <w:tc>
          <w:tcPr>
            <w:tcW w:type="dxa" w:w="13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w:t>
            </w:r>
          </w:p>
        </w:tc>
        <w:tc>
          <w:tcPr>
            <w:tcW w:type="dxa" w:w="56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배정·연락·상담·방문 상태와 책임자 규칙</w:t>
            </w:r>
          </w:p>
        </w:tc>
        <w:tc>
          <w:tcPr>
            <w:tcW w:type="dxa" w:w="26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담당자·운영 규칙 확정</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투명성</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수수료·실집행·제작비·잔액·정산 양식</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범위 재확정</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12-4] 착수 필수 수령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817"/>
        <w:gridCol w:w="3671"/>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48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36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기본</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주소·경계·용도·규모·동수·세대수·입주예정일</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확정, 공간분석, 공급 비교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조건</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분양가·옵션·발코니·중도금·혜택·잔여세대</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가격저항 분석, 광고 표현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평면·커뮤니티·주차·조경·에너지·마감</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 비교, 콘텐츠, 상담자료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DB·상담기록·거절사유·방문·계약 현황</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기준, 고객유형, 재접촉</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계정·캠페인·소재·비용·전환 내역</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계정 진단, 예산 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사업·법무</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확정된 개발계획·인허가·협약·표현검수 기준</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등급, 위험관리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수집동의·처리위탁·보유기간·삭제·제3자 제공 기준</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업무툴, 후속 메시지 운영</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12.3 90일 로드맵</w:t>
      </w:r>
    </w:p>
    <w:p>
      <w:pPr>
        <w:keepNext/>
        <w:spacing w:after="90" w:before="220"/>
      </w:pPr>
      <w:r>
        <w:rPr>
          <w:rFonts w:ascii="맑은 고딕" w:cs="맑은 고딕" w:eastAsia="맑은 고딕" w:hAnsi="맑은 고딕"/>
          <w:b/>
          <w:bCs/>
          <w:color w:val="1F3864"/>
          <w:sz w:val="18"/>
          <w:szCs w:val="18"/>
        </w:rPr>
        <w:t xml:space="preserve">[표 12-5] 단계별 수행 내용과 승인 게이트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150"/>
        <w:gridCol w:w="5645"/>
        <w:gridCol w:w="1693"/>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기간</w:t>
            </w:r>
          </w:p>
        </w:tc>
        <w:tc>
          <w:tcPr>
            <w:tcW w:type="dxa" w:w="564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수행 내용</w:t>
            </w:r>
          </w:p>
        </w:tc>
        <w:tc>
          <w:tcPr>
            <w:tcW w:type="dxa" w:w="169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 게이트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 진단·설계</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브리프, 자료 검증, 데이터 커버리지 확인, 현장분석, 메시지·매체·퍼널 설계</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범위·KPI·예산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 제작·구축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2~4주차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상세 리포트·메시지맵, 정보 허브·소재 제작, 유입 추적 태깅, 업무툴·계정 설정</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콘텐츠·표현·트래킹 승인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 운영 시작</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 개시, DB 배정·연락 기준 가동</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품질·전환 이벤트 검수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 최적화</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5~10주차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매체·소재·타깃·상담 병목 개선, 주간 개선 리포트</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운영회의, 예산 조정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 전환 집중</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8~12주차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고감도·방문·장기 보류 고객의 상태별 전환</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방문·계약 기여 검토</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 종료·확장</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12~13주차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정산, 성과 분석, 계정·데이터 인계</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검수, 연장·종료 결정</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5주차 운영 시작은 표준 목표이며, 자료·권한·별도 제작 범위·승인 속도에 따라 조정됩니다.</w:t>
      </w:r>
    </w:p>
    <w:p>
      <w:pPr>
        <w:keepNext/>
        <w:spacing w:after="90" w:before="220"/>
      </w:pPr>
      <w:r>
        <w:rPr>
          <w:rFonts w:ascii="맑은 고딕" w:cs="맑은 고딕" w:eastAsia="맑은 고딕" w:hAnsi="맑은 고딕"/>
          <w:b/>
          <w:bCs/>
          <w:color w:val="1F3864"/>
          <w:sz w:val="18"/>
          <w:szCs w:val="18"/>
        </w:rPr>
        <w:t xml:space="preserve">[표 12-6] 시점별 발주처 확인 가능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가능한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 결과와 데이터 커버리지표 수령. 목표·지표 합의 완료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4주차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콘텐츠·정보 허브·추적 체계 검수 완료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운영 개시. 첫 주간 보고 수령</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8주차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채널 효율 데이터 확보. 첫 예산 재배분안 상정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개선 사이클 안착. 소재별 계약 기여 데이터 축적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90일을 </w:t>
      </w:r>
      <w:r>
        <w:rPr>
          <w:rFonts w:ascii="맑은 고딕" w:cs="맑은 고딕" w:eastAsia="맑은 고딕" w:hAnsi="맑은 고딕"/>
          <w:b/>
          <w:bCs/>
          <w:i w:val="false"/>
          <w:iCs w:val="false"/>
          <w:color w:val="1A1A1A"/>
          <w:sz w:val="20"/>
          <w:szCs w:val="20"/>
        </w:rPr>
        <w:t xml:space="preserve">집행 기간이 아니라 학습 구간으로 정의</w:t>
      </w:r>
      <w:r>
        <w:rPr>
          <w:rFonts w:ascii="맑은 고딕" w:cs="맑은 고딕" w:eastAsia="맑은 고딕" w:hAnsi="맑은 고딕"/>
          <w:b w:val="false"/>
          <w:bCs w:val="false"/>
          <w:i w:val="false"/>
          <w:iCs w:val="false"/>
          <w:color w:val="1A1A1A"/>
          <w:sz w:val="20"/>
          <w:szCs w:val="20"/>
        </w:rPr>
        <w:t xml:space="preserve">하는 이유는, 첫 캠페인의 목적이 완성된 정답의 실행이 아니라 기준선 위에서 무엇이 작동하는지를 검증된 속도로 확인하는 데 있기 때문입니다.</w:t>
      </w:r>
    </w:p>
    <w:p>
      <w:pPr>
        <w:pStyle w:val="Heading2"/>
        <w:keepNext/>
        <w:spacing w:after="140" w:before="300"/>
      </w:pPr>
      <w:r>
        <w:rPr>
          <w:rFonts w:ascii="맑은 고딕" w:cs="맑은 고딕" w:eastAsia="맑은 고딕" w:hAnsi="맑은 고딕"/>
          <w:b/>
          <w:bCs/>
          <w:color w:val="1A1A1A"/>
          <w:sz w:val="23"/>
          <w:szCs w:val="23"/>
        </w:rPr>
        <w:t xml:space="preserve">12.4 주간 운영 사이클</w:t>
      </w:r>
    </w:p>
    <w:p>
      <w:pPr>
        <w:keepNext/>
        <w:spacing w:after="90" w:before="220"/>
      </w:pPr>
      <w:r>
        <w:rPr>
          <w:rFonts w:ascii="맑은 고딕" w:cs="맑은 고딕" w:eastAsia="맑은 고딕" w:hAnsi="맑은 고딕"/>
          <w:b/>
          <w:bCs/>
          <w:color w:val="1F3864"/>
          <w:sz w:val="18"/>
          <w:szCs w:val="18"/>
        </w:rPr>
        <w:t xml:space="preserve">[표 12-7] 주간 업무 흐름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요일</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전주 광고비·DB·상담·방문·계약 퍼널 집계, 데이터 누락 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매체·캠페인·소재·담당자별 병목, 고객 질문, 거절 사유 분석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예산·타깃·소재·랜딩·상담 가이드의 개선안 승인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목~금</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변경안 집행, 고감도·방문예정·장기보류 고객의 후속 조치 확인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이상, 미연락·지연, 개인정보, 광고 표현, 공식 계획 변경 모니터링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주간 산출물은 주간 요약 보고이며, 월간으로는 전체 퍼널·광고 예산·분양조건 변화를 검토하는 월간 분석 보고가 제공됩니다.</w:t>
      </w:r>
    </w:p>
    <w:p>
      <w:pPr>
        <w:pStyle w:val="Heading2"/>
        <w:keepNext/>
        <w:spacing w:after="140" w:before="300"/>
      </w:pPr>
      <w:r>
        <w:rPr>
          <w:rFonts w:ascii="맑은 고딕" w:cs="맑은 고딕" w:eastAsia="맑은 고딕" w:hAnsi="맑은 고딕"/>
          <w:b/>
          <w:bCs/>
          <w:color w:val="1A1A1A"/>
          <w:sz w:val="23"/>
          <w:szCs w:val="23"/>
        </w:rPr>
        <w:t xml:space="preserve">12.5 단계별 승인 게이트</w:t>
      </w:r>
    </w:p>
    <w:p>
      <w:pPr>
        <w:keepNext/>
        <w:spacing w:after="90" w:before="220"/>
      </w:pPr>
      <w:r>
        <w:rPr>
          <w:rFonts w:ascii="맑은 고딕" w:cs="맑은 고딕" w:eastAsia="맑은 고딕" w:hAnsi="맑은 고딕"/>
          <w:b/>
          <w:bCs/>
          <w:color w:val="1F3864"/>
          <w:sz w:val="18"/>
          <w:szCs w:val="18"/>
        </w:rPr>
        <w:t xml:space="preserve">[표 12-8] 승인 게이트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550"/>
        <w:gridCol w:w="393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게이트</w:t>
            </w:r>
          </w:p>
        </w:tc>
        <w:tc>
          <w:tcPr>
            <w:tcW w:type="dxa" w:w="45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 대상</w:t>
            </w:r>
          </w:p>
        </w:tc>
        <w:tc>
          <w:tcPr>
            <w:tcW w:type="dxa" w:w="39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승인권자 (예시)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G1 착수</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범위·자료·일정·보안·연락 체계</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PM, 현장 총괄, 분양하마 PM</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G2 분석</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경계·데이터·주요 판정·한계</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담당, 분석 책임자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G3 표현</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문구·정부계획·가격·위험 표현</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법무·검수 담당</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G4 집행</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매체·예산·계정·전환·DB 연동</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예산권자, 현장 총괄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G5 변경</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이동, 대규모 소재 변경, 범위 추가</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계약서상 승인권자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G6 종료</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집행·잔액·산출물·계정·데이터</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PM, 재무, 현장 총괄</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일정보다 중요한 것은 게이트입니다. 각 단계의 승인 없이 다음 단계가 시작되지 않으며, 이 통제가 초기 예산의 소모와 기준 없는 집행을 방지합니다.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게이트에서 승인되는 산출물의 범위와 검수 기준이 제13장의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제13장. 제공 범위 (Scope of Work)</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제공·제외·검수 기준을 계약 전에 문서로 확정합니다.</w:t>
      </w:r>
    </w:p>
    <w:p>
      <w:pPr>
        <w:keepNext/>
        <w:spacing w:after="90" w:before="220"/>
      </w:pPr>
      <w:r>
        <w:rPr>
          <w:rFonts w:ascii="맑은 고딕" w:cs="맑은 고딕" w:eastAsia="맑은 고딕" w:hAnsi="맑은 고딕"/>
          <w:b/>
          <w:bCs/>
          <w:color w:val="1F3864"/>
          <w:sz w:val="18"/>
          <w:szCs w:val="18"/>
        </w:rPr>
        <w:t xml:space="preserve">[표 13-1]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일체"와 같은 불명확한 범위는 기대 불일치와 검수·정산 분쟁을 유발한다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범위·수량·검수 기준·변경 절차가 계약 문서에 정의되지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7분류 표준 제공범위(13.1), 제외 항목 명시(13.2), 산출물별 검수 기준(13.3), 변경관리 절차(13.5)를 계약에 반영한다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납품의 합격 기준이 사전에 정의되어 검수·정산 분쟁이 예방된다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13.1 표준 제공범위 (90일 운영 기준)</w:t>
      </w:r>
    </w:p>
    <w:p>
      <w:pPr>
        <w:keepNext/>
        <w:spacing w:after="90" w:before="220"/>
      </w:pPr>
      <w:r>
        <w:rPr>
          <w:rFonts w:ascii="맑은 고딕" w:cs="맑은 고딕" w:eastAsia="맑은 고딕" w:hAnsi="맑은 고딕"/>
          <w:b/>
          <w:bCs/>
          <w:color w:val="1F3864"/>
          <w:sz w:val="18"/>
          <w:szCs w:val="18"/>
        </w:rPr>
        <w:t xml:space="preserve">[표 13-2] 제공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2"/>
        <w:gridCol w:w="6206"/>
        <w:gridCol w:w="1980"/>
      </w:tblGrid>
      <w:tr>
        <w:trPr>
          <w:cantSplit/>
          <w:tblHeader/>
        </w:trPr>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6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항목</w:t>
            </w:r>
          </w:p>
        </w:tc>
        <w:tc>
          <w:tcPr>
            <w:tcW w:type="dxa" w:w="19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수량·조건</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진단리포트, 데이터 커버리지표, 근거원장</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1식</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영업자료</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고객용 요약리포트, 상담 근거팩, 메시지맵</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1식</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기획</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질문, 콘셉트, 매체별 활용안</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3~5개 방향</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영상, 촬영, 디자인, 편집</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제작 견적</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매체의 캠페인, 유입 추적 태깅, 예산 운영</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운영기간 90일</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 관리</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담당자 배정, 상태 관리, 알림, 대시보드</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1개</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성과·정산</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요약, 월간 분석, 종료 정산</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주간·월간·종료</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13.2 제외 및 별도 협의 항목</w:t>
      </w:r>
    </w:p>
    <w:p>
      <w:pPr>
        <w:keepNext/>
        <w:spacing w:after="90" w:before="220"/>
      </w:pPr>
      <w:r>
        <w:rPr>
          <w:rFonts w:ascii="맑은 고딕" w:cs="맑은 고딕" w:eastAsia="맑은 고딕" w:hAnsi="맑은 고딕"/>
          <w:b/>
          <w:bCs/>
          <w:color w:val="1F3864"/>
          <w:sz w:val="18"/>
          <w:szCs w:val="18"/>
        </w:rPr>
        <w:t xml:space="preserve">[표 13-3] 표준 제공범위 제외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제외·별도 협의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전문 의견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법률·세무·감정평가·투자자문에 해당하는 공식 의견서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유료 민간 데이터 구매, 별도 라이선스, 대규모 현장조사·전문기관 실측</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촬영, 모델·스튜디오·드론·3D·VR, 다량 디자인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인프라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허브의 장기 호스팅, 도메인, 외부 솔루션, 복잡한 시스템 연동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분양상담 인력의 직접 고용, 콜센터 운영, 계약 체결 대행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시스템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업무툴의 현장 전용 기능 개발, 장기 데이터 보관, 타 시스템 마이그레이션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제외 항목은 필요 시 범위·단가·납기·수정 횟수·권리 귀속을 견적서와 계약서에 구분하여 별도 협의합니다.</w:t>
      </w:r>
    </w:p>
    <w:p>
      <w:pPr>
        <w:pStyle w:val="Heading2"/>
        <w:keepNext/>
        <w:spacing w:after="140" w:before="300"/>
      </w:pPr>
      <w:r>
        <w:rPr>
          <w:rFonts w:ascii="맑은 고딕" w:cs="맑은 고딕" w:eastAsia="맑은 고딕" w:hAnsi="맑은 고딕"/>
          <w:b/>
          <w:bCs/>
          <w:color w:val="1A1A1A"/>
          <w:sz w:val="23"/>
          <w:szCs w:val="23"/>
        </w:rPr>
        <w:t xml:space="preserve">13.3 산출물별 검수 기준</w:t>
      </w:r>
    </w:p>
    <w:p>
      <w:pPr>
        <w:keepNext/>
        <w:spacing w:after="90" w:before="220"/>
      </w:pPr>
      <w:r>
        <w:rPr>
          <w:rFonts w:ascii="맑은 고딕" w:cs="맑은 고딕" w:eastAsia="맑은 고딕" w:hAnsi="맑은 고딕"/>
          <w:b/>
          <w:bCs/>
          <w:color w:val="1F3864"/>
          <w:sz w:val="18"/>
          <w:szCs w:val="18"/>
        </w:rPr>
        <w:t xml:space="preserve">[표 13-4] 납품 인정 기준과 검수 증빙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4874"/>
        <w:gridCol w:w="3102"/>
      </w:tblGrid>
      <w:tr>
        <w:trPr>
          <w:cantSplit/>
          <w:tblHeader/>
        </w:trPr>
        <w:tc>
          <w:tcPr>
            <w:tcW w:type="dxa" w:w="16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산출물</w:t>
            </w:r>
          </w:p>
        </w:tc>
        <w:tc>
          <w:tcPr>
            <w:tcW w:type="dxa" w:w="487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납품 인정 기준</w:t>
            </w:r>
          </w:p>
        </w:tc>
        <w:tc>
          <w:tcPr>
            <w:tcW w:type="dxa" w:w="31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증빙</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진단리포트</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기준일·경계·출처·계산·한계·반대근거 표시</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체크리스트, 버전</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필수 정보·링크·폼·모바일·추적·표현 승인 정상</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테스트 결과, 승인 기록</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규격·수량·브랜드·근거·오탈자·권리 적합</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 목록, 수정·승인 기록</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소유·권한·결제·전환·유입 추적·명명 규칙</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점검표, 집행 화면</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유입·중복·배정·알림·상태·내보내기 정상</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테스트, 사용자 승인</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예산·성과 수치가 원천 자료와 일치</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원천 자료 대사표</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계약·실집행·수수료·제작비·잔액 일치</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결제·원장·정산서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13.4 별도 콘텐츠 제작 계약의 필수 확정 항목</w:t>
      </w:r>
    </w:p>
    <w:p>
      <w:pPr>
        <w:keepNext/>
        <w:spacing w:after="90" w:before="220"/>
      </w:pPr>
      <w:r>
        <w:rPr>
          <w:rFonts w:ascii="맑은 고딕" w:cs="맑은 고딕" w:eastAsia="맑은 고딕" w:hAnsi="맑은 고딕"/>
          <w:b/>
          <w:bCs/>
          <w:color w:val="1F3864"/>
          <w:sz w:val="18"/>
          <w:szCs w:val="18"/>
        </w:rPr>
        <w:t xml:space="preserve">[표 13-5] 제작 계약 확정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확정 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세부 확인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카드뉴스, 숏폼, 인터뷰, 현장영상, 리포트, 정보 허브의 규격과 수량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기획·원고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원고 포함 여부, 카피, 콘티, 출연자 인터뷰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촬영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장소, 일수, 장비, 드론, 모델, 교통, 기상 예비일</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디자인·편집</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템플릿 또는 신규 제작, 러닝타임, 자막, 모션, 색보정, 음원</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초안·1차·최종, 무상 수정 횟수, 범위 변경 기준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원본·소스파일, 폰트·음원·이미지·초상권, 광고 사용기간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납기·승인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자료 마감, 초안일, 승인자, 최종 납품 형식</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13.5 변경관리와 종료·인계</w:t>
      </w:r>
    </w:p>
    <w:p>
      <w:pPr>
        <w:keepNext/>
        <w:spacing w:after="90" w:before="220"/>
      </w:pPr>
      <w:r>
        <w:rPr>
          <w:rFonts w:ascii="맑은 고딕" w:cs="맑은 고딕" w:eastAsia="맑은 고딕" w:hAnsi="맑은 고딕"/>
          <w:b/>
          <w:bCs/>
          <w:color w:val="1F3864"/>
          <w:sz w:val="18"/>
          <w:szCs w:val="18"/>
        </w:rPr>
        <w:t xml:space="preserve">[표 13-6] 변경관리 5단계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12"/>
        <w:gridCol w:w="7526"/>
      </w:tblGrid>
      <w:tr>
        <w:trPr>
          <w:cantSplit/>
          <w:tblHeader/>
        </w:trPr>
        <w:tc>
          <w:tcPr>
            <w:tcW w:type="dxa" w:w="211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752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변경요청 등록</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요청 내용, 사유, 긴급도, 요청자 기록</w:t>
            </w:r>
          </w:p>
        </w:tc>
      </w:tr>
      <w:tr>
        <w:trPr>
          <w:cantSplit/>
          <w:tblHeader w:val="false"/>
        </w:trPr>
        <w:tc>
          <w:tcPr>
            <w:tcW w:type="dxa" w:w="211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영향 분석</w:t>
            </w:r>
          </w:p>
        </w:tc>
        <w:tc>
          <w:tcPr>
            <w:tcW w:type="dxa" w:w="75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일정·비용·데이터·광고 성과·개인정보·표현 위험 영향 검토</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견적·승인</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무상 범위와 추가 비용, 납기, 기존 산출물 영향을 서면 승인</w:t>
            </w:r>
          </w:p>
        </w:tc>
      </w:tr>
      <w:tr>
        <w:trPr>
          <w:cantSplit/>
          <w:tblHeader w:val="false"/>
        </w:trPr>
        <w:tc>
          <w:tcPr>
            <w:tcW w:type="dxa" w:w="211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실행·검수</w:t>
            </w:r>
          </w:p>
        </w:tc>
        <w:tc>
          <w:tcPr>
            <w:tcW w:type="dxa" w:w="75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변경 버전 구분, 테스트와 표현 검수 수행</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이력 보존</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승인자·승인일·변경 내용을 변경원장에 저장</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13-7] 종료·인계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인계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권한·소유 관계, 결제 수단, 잔여 예산 처리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자산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캠페인·소재·전환 설정·유입 추적·대시보드의 최종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데이터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내보내기, 개인정보 보관·반환·삭제 및 파기 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산출물·원본·소스파일의 계약상 인도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근거원장·분석 리포트·운영 리포트·정산서의 최종 버전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미결 과제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모니터링, 재계약 또는 종료 지원 일정</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범위의 명확성은 협업 신뢰의 전제입니다.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확정된 제공범위는 검수(13.3)와 정산(제11장)의 기준 문서가 되며, 범위 밖 요청은 변경관리 절차(13.5)를 통해 서면으로 처리됩니다. 이 범위를 누가 책임지고 수행하는지가 제14장의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제14장. 수행 조직·책임과 위험 통제</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책임은 RACI로 분리하고, 위험은 8개 범주로 사전 통제합니다.</w:t>
      </w:r>
    </w:p>
    <w:p>
      <w:pPr>
        <w:keepNext/>
        <w:spacing w:after="90" w:before="220"/>
      </w:pPr>
      <w:r>
        <w:rPr>
          <w:rFonts w:ascii="맑은 고딕" w:cs="맑은 고딕" w:eastAsia="맑은 고딕" w:hAnsi="맑은 고딕"/>
          <w:b/>
          <w:bCs/>
          <w:color w:val="1F3864"/>
          <w:sz w:val="18"/>
          <w:szCs w:val="18"/>
        </w:rPr>
        <w:t xml:space="preserve">[표 14-1]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책임 소재가 불명확하면 사고의 예방과 발생 시 대응이 모두 지연된다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분석·표현·집행·입력·개인정보의 책임 주체가 관행적으로 정의되지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수행 조직과 RACI(14.1~14.2), 8범주 위험통제표(14.3), 개인정보 원칙(14.4), 표현 등급·금지 목록(14.5)을 계약에 반영한다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표현·개인정보·성과 왜곡 사고가 절차로 예방되고, 발생 시 대응 경로가 사전에 정의된다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14.1 수행 조직</w:t>
      </w:r>
    </w:p>
    <w:p>
      <w:pPr>
        <w:keepNext/>
        <w:spacing w:after="90" w:before="220"/>
      </w:pPr>
      <w:r>
        <w:rPr>
          <w:rFonts w:ascii="맑은 고딕" w:cs="맑은 고딕" w:eastAsia="맑은 고딕" w:hAnsi="맑은 고딕"/>
          <w:b/>
          <w:bCs/>
          <w:color w:val="1F3864"/>
          <w:sz w:val="18"/>
          <w:szCs w:val="18"/>
        </w:rPr>
        <w:t xml:space="preserve">[표 14-2] 표준 역할과 책임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2"/>
        <w:gridCol w:w="5140"/>
        <w:gridCol w:w="2846"/>
      </w:tblGrid>
      <w:tr>
        <w:trPr>
          <w:cantSplit/>
          <w:tblHeader/>
        </w:trPr>
        <w:tc>
          <w:tcPr>
            <w:tcW w:type="dxa" w:w="16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c>
          <w:tcPr>
            <w:tcW w:type="dxa" w:w="51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책임</w:t>
            </w:r>
          </w:p>
        </w:tc>
        <w:tc>
          <w:tcPr>
            <w:tcW w:type="dxa" w:w="284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승인·보고</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총괄 책임자</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계약·범위·중요 위험·상위 의사결정</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범위·예산·중요 변경·종료</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프로젝트 매니저</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일정·회의·자료·이슈·변경·산출물 통합, 발주처 창구 일원화</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보고, 게이트, 이슈 원장</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AI·데이터 분석</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수집, 공간·가격·수요·촉매 분석, 근거원장 관리</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결과, 한계, 표현 등급</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콘텐츠·GEO</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메시지·원고·디자인·영상·정보 허브</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버전, 권리, 표현 승인</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퍼포먼스 광고</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계정·캠페인·예산·전환·최적화·리포트</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예산 이동, 성과</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업무툴·데이터 운영</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연동·배정·상태·알림·대시보드</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품질, 접근 권한, 장애</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 책임자</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담당자·상담·방문·계약·거절 사유 품질</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퍼널, 연락 기준, 후속 조치</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14.2 역할 분담 (RACI)</w:t>
      </w:r>
    </w:p>
    <w:p>
      <w:pPr>
        <w:keepNext/>
        <w:spacing w:after="90" w:before="220"/>
      </w:pPr>
      <w:r>
        <w:rPr>
          <w:rFonts w:ascii="맑은 고딕" w:cs="맑은 고딕" w:eastAsia="맑은 고딕" w:hAnsi="맑은 고딕"/>
          <w:b/>
          <w:bCs/>
          <w:color w:val="1F3864"/>
          <w:sz w:val="18"/>
          <w:szCs w:val="18"/>
        </w:rPr>
        <w:t xml:space="preserve">[표 14-3] 업무별 책임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33"/>
        <w:gridCol w:w="1735"/>
        <w:gridCol w:w="1735"/>
        <w:gridCol w:w="1735"/>
      </w:tblGrid>
      <w:tr>
        <w:trPr>
          <w:cantSplit/>
          <w:tblHeader/>
        </w:trPr>
        <w:tc>
          <w:tcPr>
            <w:tcW w:type="dxa" w:w="443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시행사</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총괄</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분양조건·예산 확정</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분석자료 제공·사실 확인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분석·근거원장</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표현 최종 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집행·최적화</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연락·상담·상태 갱신</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협의·지원</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대시보드·성과 분석</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기준·위탁</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정산·인계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분담이 명시하는 두 가지 사실을 강조합니다.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첫째, </w:t>
      </w:r>
      <w:r>
        <w:rPr>
          <w:rFonts w:ascii="맑은 고딕" w:cs="맑은 고딕" w:eastAsia="맑은 고딕" w:hAnsi="맑은 고딕"/>
          <w:b/>
          <w:bCs/>
          <w:i w:val="false"/>
          <w:iCs w:val="false"/>
          <w:color w:val="1A1A1A"/>
          <w:sz w:val="20"/>
          <w:szCs w:val="20"/>
        </w:rPr>
        <w:t xml:space="preserve">광고 표현의 최종 승인권은 시행사에 있습니다.</w:t>
      </w:r>
      <w:r>
        <w:rPr>
          <w:rFonts w:ascii="맑은 고딕" w:cs="맑은 고딕" w:eastAsia="맑은 고딕" w:hAnsi="맑은 고딕"/>
          <w:b w:val="false"/>
          <w:bCs w:val="false"/>
          <w:i w:val="false"/>
          <w:iCs w:val="false"/>
          <w:color w:val="1A1A1A"/>
          <w:sz w:val="20"/>
          <w:szCs w:val="20"/>
        </w:rPr>
        <w:t xml:space="preserve"> 당사는 근거와 표현 등급을 제시하고, 시행사가 판매 주장을 확정합니다.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둘째, </w:t>
      </w:r>
      <w:r>
        <w:rPr>
          <w:rFonts w:ascii="맑은 고딕" w:cs="맑은 고딕" w:eastAsia="맑은 고딕" w:hAnsi="맑은 고딕"/>
          <w:b/>
          <w:bCs/>
          <w:i w:val="false"/>
          <w:iCs w:val="false"/>
          <w:color w:val="1A1A1A"/>
          <w:sz w:val="20"/>
          <w:szCs w:val="20"/>
        </w:rPr>
        <w:t xml:space="preserve">DB 연락·상담·상태 입력의 실행 책임은 현장에 있습니다.</w:t>
      </w:r>
      <w:r>
        <w:rPr>
          <w:rFonts w:ascii="맑은 고딕" w:cs="맑은 고딕" w:eastAsia="맑은 고딕" w:hAnsi="맑은 고딕"/>
          <w:b w:val="false"/>
          <w:bCs w:val="false"/>
          <w:i w:val="false"/>
          <w:iCs w:val="false"/>
          <w:color w:val="1A1A1A"/>
          <w:sz w:val="20"/>
          <w:szCs w:val="20"/>
        </w:rPr>
        <w:t xml:space="preserve"> 당사는 이를 시스템과 알림으로 지원하지만 대행하지 않습니다(9.5).</w:t>
      </w:r>
    </w:p>
    <w:p>
      <w:pPr>
        <w:keepNext/>
        <w:spacing w:after="90" w:before="220"/>
      </w:pPr>
      <w:r>
        <w:rPr>
          <w:rFonts w:ascii="맑은 고딕" w:cs="맑은 고딕" w:eastAsia="맑은 고딕" w:hAnsi="맑은 고딕"/>
          <w:b/>
          <w:bCs/>
          <w:color w:val="1F3864"/>
          <w:sz w:val="18"/>
          <w:szCs w:val="18"/>
        </w:rPr>
        <w:t xml:space="preserve">[표 14-4] 운영 회의체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1549"/>
        <w:gridCol w:w="5335"/>
      </w:tblGrid>
      <w:tr>
        <w:trPr>
          <w:cantSplit/>
          <w:tblHeader/>
        </w:trPr>
        <w:tc>
          <w:tcPr>
            <w:tcW w:type="dxa" w:w="27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회의체</w:t>
            </w:r>
          </w:p>
        </w:tc>
        <w:tc>
          <w:tcPr>
            <w:tcW w:type="dxa" w:w="15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주기</w:t>
            </w:r>
          </w:p>
        </w:tc>
        <w:tc>
          <w:tcPr>
            <w:tcW w:type="dxa" w:w="53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안건</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착수·게이트 회의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범위·분석·표현·집행·종료 승인</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운영회의</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 1회</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광고비·DB·상담·방문·계약·개선안</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검수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단계</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근거·표현·브랜드·권리·납기</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검토</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배분·소진 속도·잔액·지원금</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위험·이슈 회의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발생 시</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개인정보·표현·계정·데이터·민원</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평가</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월간·종료</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기준선·KPI·기여·확장·중단 판단</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의사결정은 이슈·의사결정·변경·예산의 4개 원장에 기록됩니다.</w:t>
      </w:r>
    </w:p>
    <w:p>
      <w:pPr>
        <w:pStyle w:val="Heading2"/>
        <w:keepNext/>
        <w:spacing w:after="140" w:before="300"/>
      </w:pPr>
      <w:r>
        <w:rPr>
          <w:rFonts w:ascii="맑은 고딕" w:cs="맑은 고딕" w:eastAsia="맑은 고딕" w:hAnsi="맑은 고딕"/>
          <w:b/>
          <w:bCs/>
          <w:color w:val="1A1A1A"/>
          <w:sz w:val="23"/>
          <w:szCs w:val="23"/>
        </w:rPr>
        <w:t xml:space="preserve">14.3 핵심 위험통제표</w:t>
      </w:r>
    </w:p>
    <w:p>
      <w:pPr>
        <w:keepNext/>
        <w:spacing w:after="90" w:before="220"/>
      </w:pPr>
      <w:r>
        <w:rPr>
          <w:rFonts w:ascii="맑은 고딕" w:cs="맑은 고딕" w:eastAsia="맑은 고딕" w:hAnsi="맑은 고딕"/>
          <w:b/>
          <w:bCs/>
          <w:color w:val="1F3864"/>
          <w:sz w:val="18"/>
          <w:szCs w:val="18"/>
        </w:rPr>
        <w:t xml:space="preserve">[표 14-5] 8범주 위험과 통제 방안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3"/>
        <w:gridCol w:w="3759"/>
        <w:gridCol w:w="4626"/>
      </w:tblGrid>
      <w:tr>
        <w:trPr>
          <w:cantSplit/>
          <w:tblHeader/>
        </w:trPr>
        <w:tc>
          <w:tcPr>
            <w:tcW w:type="dxa" w:w="12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위험</w:t>
            </w:r>
          </w:p>
        </w:tc>
        <w:tc>
          <w:tcPr>
            <w:tcW w:type="dxa" w:w="37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가능 문제</w:t>
            </w:r>
          </w:p>
        </w:tc>
        <w:tc>
          <w:tcPr>
            <w:tcW w:type="dxa" w:w="462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통제 방안</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오류</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주소·단지·거래·경계의 잘못된 매칭</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검증, 표본 확인, 원천 링크, 이중 검수</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오용</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시·구 통계를 현장 생활권처럼 사용</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지표별 경계·중첩 가중·시간권 명시 (5.4.1)</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과신</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단일 미래 가격·확정적 상승 표현</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시나리오·민감도·백테스트·한계 표시 (5.7)</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과장</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 사업을 확정 또는 "역세권"처럼 표현</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성숙도·공간 효과·예산·반대근거 검증 (5.6)</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라이선스 위반</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허용되지 않은 데이터 재배포</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출처별 권한 상태·저장·가공·공개 범위 관리</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침해</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동의 없는 광고·DB 공유·과다 보관</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동의·처리위탁·최소 권한·보관·삭제·기록 (14.4)</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통제</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광고계정·결제·권한의 소유 불명</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소유·관리자·결제·종료 인계 사전 확정</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왜곡</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수량만 강조, 계약 기여 과대평가</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정의·중복 제거·기준선·기여 한계 표시 (14.6)</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위험 항목은 열거 후 종료되는 목록이 아니라 주간 사이클(12.4)의 상시 모니터링 대상입니다. 발생 시 위험·이슈 회의를 소집하고 처리 결과를 이슈 원장에 기록합니다.</w:t>
      </w:r>
    </w:p>
    <w:p>
      <w:pPr>
        <w:pStyle w:val="Heading2"/>
        <w:keepNext/>
        <w:spacing w:after="140" w:before="300"/>
      </w:pPr>
      <w:r>
        <w:rPr>
          <w:rFonts w:ascii="맑은 고딕" w:cs="맑은 고딕" w:eastAsia="맑은 고딕" w:hAnsi="맑은 고딕"/>
          <w:b/>
          <w:bCs/>
          <w:color w:val="1A1A1A"/>
          <w:sz w:val="23"/>
          <w:szCs w:val="23"/>
        </w:rPr>
        <w:t xml:space="preserve">14.4 개인정보 처리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고객 DB는 본 시스템의 핵심 자산인 동시에 가장 엄격한 법적 책임의 대상입니다. </w:t>
      </w:r>
      <w:r>
        <w:rPr>
          <w:rFonts w:ascii="맑은 고딕" w:cs="맑은 고딕" w:eastAsia="맑은 고딕" w:hAnsi="맑은 고딕"/>
          <w:b/>
          <w:bCs/>
          <w:i w:val="false"/>
          <w:iCs w:val="false"/>
          <w:color w:val="1A1A1A"/>
          <w:sz w:val="20"/>
          <w:szCs w:val="20"/>
        </w:rPr>
        <w:t xml:space="preserve">DB 연동 전에</w:t>
      </w:r>
      <w:r>
        <w:rPr>
          <w:rFonts w:ascii="맑은 고딕" w:cs="맑은 고딕" w:eastAsia="맑은 고딕" w:hAnsi="맑은 고딕"/>
          <w:b w:val="false"/>
          <w:bCs w:val="false"/>
          <w:i w:val="false"/>
          <w:iCs w:val="false"/>
          <w:color w:val="1A1A1A"/>
          <w:sz w:val="20"/>
          <w:szCs w:val="20"/>
        </w:rPr>
        <w:t xml:space="preserve"> 다음을 확정합니다.</w:t>
      </w:r>
    </w:p>
    <w:p>
      <w:pPr>
        <w:keepNext/>
        <w:spacing w:after="90" w:before="220"/>
      </w:pPr>
      <w:r>
        <w:rPr>
          <w:rFonts w:ascii="맑은 고딕" w:cs="맑은 고딕" w:eastAsia="맑은 고딕" w:hAnsi="맑은 고딕"/>
          <w:b/>
          <w:bCs/>
          <w:color w:val="1F3864"/>
          <w:sz w:val="18"/>
          <w:szCs w:val="18"/>
        </w:rPr>
        <w:t xml:space="preserve">[표 14-6] 개인정보 사전 확정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확정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역할 관계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처리자·수탁자·제3자 제공의 역할 정의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범위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항목·목적·보유 기간·동의 문구 (업무 필요 최소 정보)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접근 통제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관리자·팀장·담당자별 권한, 계정 공유 금지, 접근 기록, 인사 이동 시 권한 회수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광고성 정보</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메시지·리타기팅의 동의 범위, 수신 거부, 표시 기준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처리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내보내기·반환·삭제·파기 확인 일정, 백업 보존 기간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전송</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연동·클라우드·메시징·광고 플랫폼에 제공되는 항목과 처리 지역</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실제 적용 시 개인정보 보호법, 광고성 정보 관련 규정, 플랫폼 정책, 시행사 내부 기준을 기준일 현재로 다시 확인합니다.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업무툴에서 개인 기기·개인 메신저를 통한 고객 정보 보관·전송을 금지하는 것은 보안 조치인 동시에, 고객 정보의 개인 귀속(2.3)을 차단하는 운영 조치입니다.</w:t>
      </w:r>
    </w:p>
    <w:p>
      <w:pPr>
        <w:pStyle w:val="Heading2"/>
        <w:keepNext/>
        <w:spacing w:after="140" w:before="300"/>
      </w:pPr>
      <w:r>
        <w:rPr>
          <w:rFonts w:ascii="맑은 고딕" w:cs="맑은 고딕" w:eastAsia="맑은 고딕" w:hAnsi="맑은 고딕"/>
          <w:b/>
          <w:bCs/>
          <w:color w:val="1A1A1A"/>
          <w:sz w:val="23"/>
          <w:szCs w:val="23"/>
        </w:rPr>
        <w:t xml:space="preserve">14.5 광고 표현 등급과 금지 항목</w:t>
      </w:r>
    </w:p>
    <w:p>
      <w:pPr>
        <w:pStyle w:val="Heading3"/>
        <w:keepNext/>
        <w:spacing w:after="110" w:before="240"/>
      </w:pPr>
      <w:r>
        <w:rPr>
          <w:rFonts w:ascii="맑은 고딕" w:cs="맑은 고딕" w:eastAsia="맑은 고딕" w:hAnsi="맑은 고딕"/>
          <w:b/>
          <w:bCs/>
          <w:color w:val="5A5A5A"/>
          <w:sz w:val="20"/>
          <w:szCs w:val="20"/>
        </w:rPr>
        <w:t xml:space="preserve">14.5.1 표현 3등급</w:t>
      </w:r>
    </w:p>
    <w:p>
      <w:pPr>
        <w:keepNext/>
        <w:spacing w:after="90" w:before="220"/>
      </w:pPr>
      <w:r>
        <w:rPr>
          <w:rFonts w:ascii="맑은 고딕" w:cs="맑은 고딕" w:eastAsia="맑은 고딕" w:hAnsi="맑은 고딕"/>
          <w:b/>
          <w:bCs/>
          <w:color w:val="1F3864"/>
          <w:sz w:val="18"/>
          <w:szCs w:val="18"/>
        </w:rPr>
        <w:t xml:space="preserve">[표 14-7] 광고 표현 등급 판정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13"/>
        <w:gridCol w:w="4275"/>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등급</w:t>
            </w:r>
          </w:p>
        </w:tc>
        <w:tc>
          <w:tcPr>
            <w:tcW w:type="dxa" w:w="42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기준</w:t>
            </w:r>
          </w:p>
        </w:tc>
        <w:tc>
          <w:tcPr>
            <w:tcW w:type="dxa" w:w="427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가능</w:t>
            </w:r>
          </w:p>
        </w:tc>
        <w:tc>
          <w:tcPr>
            <w:tcW w:type="dxa" w:w="4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자료와 기준일이 확인되고 문맥 왜곡이 없는 사실·계산</w:t>
            </w:r>
          </w:p>
        </w:tc>
        <w:tc>
          <w:tcPr>
            <w:tcW w:type="dxa" w:w="42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최근 실거래, 확정 분양조건, 법정 고시, 현재 이동시간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조건부 사용</w:t>
            </w:r>
          </w:p>
        </w:tc>
        <w:tc>
          <w:tcPr>
            <w:tcW w:type="dxa" w:w="4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가정·예정·추정이 포함되며 조건과 한계를 함께 제시</w:t>
            </w:r>
          </w:p>
        </w:tc>
        <w:tc>
          <w:tcPr>
            <w:tcW w:type="dxa" w:w="42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"사업 추진 시 접근성 개선 가능", 기준 시나리오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금지</w:t>
            </w:r>
          </w:p>
        </w:tc>
        <w:tc>
          <w:tcPr>
            <w:tcW w:type="dxa" w:w="4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보장·확정·단정 또는 출처·권한이 불명확한 주장</w:t>
            </w:r>
          </w:p>
        </w:tc>
        <w:tc>
          <w:tcPr>
            <w:tcW w:type="dxa" w:w="42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"무조건 상승", "확정 수익", "역 신설 확정", "AI 추천 1위"</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14.5.2 당사가 하지 않는 것</w:t>
      </w:r>
    </w:p>
    <w:p>
      <w:pPr>
        <w:keepNext/>
        <w:spacing w:after="90" w:before="220"/>
      </w:pPr>
      <w:r>
        <w:rPr>
          <w:rFonts w:ascii="맑은 고딕" w:cs="맑은 고딕" w:eastAsia="맑은 고딕" w:hAnsi="맑은 고딕"/>
          <w:b/>
          <w:bCs/>
          <w:color w:val="1F3864"/>
          <w:sz w:val="18"/>
          <w:szCs w:val="18"/>
        </w:rPr>
        <w:t xml:space="preserve">[표 14-8] 금지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27"/>
        <w:gridCol w:w="3911"/>
      </w:tblGrid>
      <w:tr>
        <w:trPr>
          <w:cantSplit/>
          <w:tblHeader/>
        </w:trPr>
        <w:tc>
          <w:tcPr>
            <w:tcW w:type="dxa" w:w="57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금지 항목</w:t>
            </w:r>
          </w:p>
        </w:tc>
        <w:tc>
          <w:tcPr>
            <w:tcW w:type="dxa" w:w="39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사유</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상승·수익·계약을 보장하는 표현</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근거로 뒷받침될 수 없는 주장</w:t>
            </w:r>
          </w:p>
        </w:tc>
      </w:tr>
      <w:tr>
        <w:trPr>
          <w:cantSplit/>
          <w:tblHeader w:val="false"/>
        </w:trPr>
        <w:tc>
          <w:tcPr>
            <w:tcW w:type="dxa" w:w="57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추천 1위", "국내 최초" 등 무근거 표현</w:t>
            </w:r>
          </w:p>
        </w:tc>
        <w:tc>
          <w:tcPr>
            <w:tcW w:type="dxa" w:w="39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 불가한 최상급 표현</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발표된 호재의 무조건적 반영</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검증(5.6) 없는 사용</w:t>
            </w:r>
          </w:p>
        </w:tc>
      </w:tr>
      <w:tr>
        <w:trPr>
          <w:cantSplit/>
          <w:tblHeader w:val="false"/>
        </w:trPr>
        <w:tc>
          <w:tcPr>
            <w:tcW w:type="dxa" w:w="57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라이선스가 확인되지 않은 민간 데이터 사용</w:t>
            </w:r>
          </w:p>
        </w:tc>
        <w:tc>
          <w:tcPr>
            <w:tcW w:type="dxa" w:w="39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 위반 위험</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감정평가·투자자문으로 오인될 수 있는 표현</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업역 및 자격 문제</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현장가치 분석은 분양 마케팅·판매전략 수립을 목적으로 하며, 감정평가·투자자문·미래 가격 보장이 아닙니다.</w:t>
      </w:r>
    </w:p>
    <w:p>
      <w:pPr>
        <w:pStyle w:val="Heading3"/>
        <w:keepNext/>
        <w:spacing w:after="110" w:before="240"/>
      </w:pPr>
      <w:r>
        <w:rPr>
          <w:rFonts w:ascii="맑은 고딕" w:cs="맑은 고딕" w:eastAsia="맑은 고딕" w:hAnsi="맑은 고딕"/>
          <w:b/>
          <w:bCs/>
          <w:color w:val="5A5A5A"/>
          <w:sz w:val="20"/>
          <w:szCs w:val="20"/>
        </w:rPr>
        <w:t xml:space="preserve">14.5.3 표현 검수 체크리스트</w:t>
      </w:r>
    </w:p>
    <w:p>
      <w:pPr>
        <w:keepNext/>
        <w:spacing w:after="90" w:before="220"/>
      </w:pPr>
      <w:r>
        <w:rPr>
          <w:rFonts w:ascii="맑은 고딕" w:cs="맑은 고딕" w:eastAsia="맑은 고딕" w:hAnsi="맑은 고딕"/>
          <w:b/>
          <w:bCs/>
          <w:color w:val="1F3864"/>
          <w:sz w:val="18"/>
          <w:szCs w:val="18"/>
        </w:rPr>
        <w:t xml:space="preserve">[표 14-9] 광고 표현 검수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질문</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"확정·보장·무조건·유일·최고" 등 단정 표현의 근거가 있는가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검토·예정·추진·고시·착공·개통을 정확히 구분했는가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가격을 조건·범위·한계와 함께 제시했는가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대상·기간·단위·출처가 문구와 가까운 위치에 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고객에게 불리한 위험·비용·제약을 누락하지 않았는가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라이선스와 이미지·음원·초상권을 확인했는가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승인자·승인일·게시 기간·철회 조건을 기록했는가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14.6 성과 해석의 통제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성과 왜곡의 위험은 외부가 아니라 운영사 자신에게서 발생할 수 있습니다. 당사는 다음을 내부 규정으로 금지합니다.</w:t>
      </w:r>
    </w:p>
    <w:p>
      <w:pPr>
        <w:keepNext/>
        <w:spacing w:after="90" w:before="220"/>
      </w:pPr>
      <w:r>
        <w:rPr>
          <w:rFonts w:ascii="맑은 고딕" w:cs="맑은 고딕" w:eastAsia="맑은 고딕" w:hAnsi="맑은 고딕"/>
          <w:b/>
          <w:bCs/>
          <w:color w:val="1F3864"/>
          <w:sz w:val="18"/>
          <w:szCs w:val="18"/>
        </w:rPr>
        <w:t xml:space="preserve">[표 14-10] 성과 보고 금지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2"/>
        <w:gridCol w:w="7676"/>
      </w:tblGrid>
      <w:tr>
        <w:trPr>
          <w:cantSplit/>
          <w:tblHeader/>
        </w:trPr>
        <w:tc>
          <w:tcPr>
            <w:tcW w:type="dxa" w:w="19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금지 사항</w:t>
            </w:r>
          </w:p>
        </w:tc>
        <w:tc>
          <w:tcPr>
            <w:tcW w:type="dxa" w:w="767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통제 방법</w:t>
            </w:r>
          </w:p>
        </w:tc>
      </w:tr>
      <w:tr>
        <w:trPr>
          <w:cantSplit/>
          <w:tblHeader w:val="false"/>
        </w:trPr>
        <w:tc>
          <w:tcPr>
            <w:tcW w:type="dxa" w:w="19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기여의 과대평가</w:t>
            </w:r>
          </w:p>
        </w:tc>
        <w:tc>
          <w:tcPr>
            <w:tcW w:type="dxa" w:w="767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고객의 유입 경로 연결은 합의된 귀속 기준으로만 판정. 광고 외 요인(가격 조정, 시즌, 현장 인력)의 기여를 광고 성과로 흡수하지 않음</w:t>
            </w:r>
          </w:p>
        </w:tc>
      </w:tr>
      <w:tr>
        <w:trPr>
          <w:cantSplit/>
          <w:tblHeader w:val="false"/>
        </w:trPr>
        <w:tc>
          <w:tcPr>
            <w:tcW w:type="dxa" w:w="19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불리한 수치의 지연 보고</w:t>
            </w:r>
          </w:p>
        </w:tc>
        <w:tc>
          <w:tcPr>
            <w:tcW w:type="dxa" w:w="767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나쁜 신호일수록 조기에 보고. 조기 대응의 전제 조건</w:t>
            </w:r>
          </w:p>
        </w:tc>
      </w:tr>
      <w:tr>
        <w:trPr>
          <w:cantSplit/>
          <w:tblHeader w:val="false"/>
        </w:trPr>
        <w:tc>
          <w:tcPr>
            <w:tcW w:type="dxa" w:w="19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정의의 사후 변경</w:t>
            </w:r>
          </w:p>
        </w:tc>
        <w:tc>
          <w:tcPr>
            <w:tcW w:type="dxa" w:w="767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KPI 정의는 착수 시 문서로 고정(10.2). 변경 시 이력과 소급 재산출 병기</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수요 부족이 실제 원인인 현장에서는 그 사실을 데이터로 보고하고 조건 재검토를 안건화하는 것이 당사의 역할입니다. </w:t>
      </w:r>
      <w:r>
        <w:rPr>
          <w:rFonts w:ascii="맑은 고딕" w:cs="맑은 고딕" w:eastAsia="맑은 고딕" w:hAnsi="맑은 고딕"/>
          <w:b/>
          <w:bCs/>
          <w:i w:val="false"/>
          <w:iCs w:val="false"/>
          <w:color w:val="1A1A1A"/>
          <w:sz w:val="20"/>
          <w:szCs w:val="20"/>
        </w:rPr>
        <w:t xml:space="preserve">운영이 해결할 수 없는 문제를 운영이 해결할 수 있다고 말하지 않는 것</w:t>
      </w:r>
      <w:r>
        <w:rPr>
          <w:rFonts w:ascii="맑은 고딕" w:cs="맑은 고딕" w:eastAsia="맑은 고딕" w:hAnsi="맑은 고딕"/>
          <w:b w:val="false"/>
          <w:bCs w:val="false"/>
          <w:i w:val="false"/>
          <w:iCs w:val="false"/>
          <w:color w:val="1A1A1A"/>
          <w:sz w:val="20"/>
          <w:szCs w:val="20"/>
        </w:rPr>
        <w:t xml:space="preserve">이 본 제안서 전체의 서술 원칙입니다.</w:t>
      </w:r>
    </w:p>
    <w:p>
      <w:pPr>
        <w:pStyle w:val="Heading2"/>
        <w:keepNext/>
        <w:spacing w:after="140" w:before="300"/>
      </w:pPr>
      <w:r>
        <w:rPr>
          <w:rFonts w:ascii="맑은 고딕" w:cs="맑은 고딕" w:eastAsia="맑은 고딕" w:hAnsi="맑은 고딕"/>
          <w:b/>
          <w:bCs/>
          <w:color w:val="1A1A1A"/>
          <w:sz w:val="23"/>
          <w:szCs w:val="23"/>
        </w:rPr>
        <w:t xml:space="preserve">14.7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통제의 목적은 형식이 아니라 예방입니다.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금지 항목의 목록과 검수 절차는 계약 문서에 포함되어 발주처의 권리가 되며, 위험 항목은 주간 사이클의 상시 모니터링 대상으로 관리됩니다. 이러한 운영 구조가 만들어내는 변화가 제15장의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제15장. 기대 효과</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기대 효과는 확인 방법이 지정된 상태 변화로 서술하며, 보장 수치를 제시하지 않습니다.</w:t>
      </w:r>
    </w:p>
    <w:p>
      <w:pPr>
        <w:keepNext/>
        <w:spacing w:after="90" w:before="220"/>
      </w:pPr>
      <w:r>
        <w:rPr>
          <w:rFonts w:ascii="맑은 고딕" w:cs="맑은 고딕" w:eastAsia="맑은 고딕" w:hAnsi="맑은 고딕"/>
          <w:b/>
          <w:bCs/>
          <w:color w:val="1F3864"/>
          <w:sz w:val="18"/>
          <w:szCs w:val="18"/>
        </w:rPr>
        <w:t xml:space="preserve">[표 15-1]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없는 기대 수치는 검증이 불가능하고, 제안 전체의 신뢰를 훼손한다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성과는 상품·가격·시장 국면·현장 인력 등 외부 요인의 영향을 함께 받기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7개 기대 영역마다 확인 방법을 지정하고(15.1), 이해관계자 관점별 의미를 구분한다(15.2)</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"달라졌는가"의 판단 자체가 데이터로 검증 가능해진다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15.1 기대 효과와 확인 방법</w:t>
      </w:r>
    </w:p>
    <w:p>
      <w:pPr>
        <w:keepNext/>
        <w:spacing w:after="90" w:before="220"/>
      </w:pPr>
      <w:r>
        <w:rPr>
          <w:rFonts w:ascii="맑은 고딕" w:cs="맑은 고딕" w:eastAsia="맑은 고딕" w:hAnsi="맑은 고딕"/>
          <w:b/>
          <w:bCs/>
          <w:color w:val="1F3864"/>
          <w:sz w:val="18"/>
          <w:szCs w:val="18"/>
        </w:rPr>
        <w:t xml:space="preserve">[표 15-2] 영역별 기대 효과와 검증 수단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4536"/>
        <w:gridCol w:w="3515"/>
      </w:tblGrid>
      <w:tr>
        <w:trPr>
          <w:cantSplit/>
          <w:tblHeader/>
        </w:trPr>
        <w:tc>
          <w:tcPr>
            <w:tcW w:type="dxa" w:w="158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기대 영역</w:t>
            </w:r>
          </w:p>
        </w:tc>
        <w:tc>
          <w:tcPr>
            <w:tcW w:type="dxa" w:w="45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기대 효과</w:t>
            </w:r>
          </w:p>
        </w:tc>
        <w:tc>
          <w:tcPr>
            <w:tcW w:type="dxa" w:w="35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방법</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경영 가시성</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광고비와 고객 상태를 동일 화면에서 확인</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 정산, 주간 보고</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신뢰</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가격·호재·비교 문구의 출처와 한계를 추적</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표현 검수 기록</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효율</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증빙 편향이 아닌 고객 단계별 매체 배분</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실집행, 퍼널 비용</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속도</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배정과 연락 지연을 조기에 확인</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배정·최초 연락시간, 미처리 현황</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품질</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질문별 근거와 거절 대응 자료의 통일</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상담완료율, 고감도율, 거절 사유</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방문·계약 학습</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전환에 기여한 소재·매체·과정 파악</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 경로, 전환 퍼널, 사례 분석</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지식 자산화</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현장별 분석·콘텐츠·상담 데이터의 축적</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버전, 표준 템플릿, 학습 원장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15.2 이해관계자별 의미</w:t>
      </w:r>
    </w:p>
    <w:p>
      <w:pPr>
        <w:keepNext/>
        <w:spacing w:after="90" w:before="220"/>
      </w:pPr>
      <w:r>
        <w:rPr>
          <w:rFonts w:ascii="맑은 고딕" w:cs="맑은 고딕" w:eastAsia="맑은 고딕" w:hAnsi="맑은 고딕"/>
          <w:b/>
          <w:bCs/>
          <w:color w:val="1F3864"/>
          <w:sz w:val="18"/>
          <w:szCs w:val="18"/>
        </w:rPr>
        <w:t xml:space="preserve">[표 15-3] 관점별 변화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543"/>
      </w:tblGrid>
      <w:tr>
        <w:trPr>
          <w:cantSplit/>
          <w:tblHeader/>
        </w:trPr>
        <w:tc>
          <w:tcPr>
            <w:tcW w:type="dxa" w:w="209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관점</w:t>
            </w:r>
          </w:p>
        </w:tc>
        <w:tc>
          <w:tcPr>
            <w:tcW w:type="dxa" w:w="75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변화 내용</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경영진</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집행과 분양 성과 사이의 블랙박스가 해소됨. 예산 증액·조건 조정·운영 변경의 의사결정을 데이터 위에서 수행. 부진의 원인이 광고·상담·조건·수요 중 어디에 있는지 구분되어 대응의 정확성과 속도가 개선됨</w:t>
            </w:r>
          </w:p>
        </w:tc>
      </w:tr>
      <w:tr>
        <w:trPr>
          <w:cantSplit/>
          <w:tblHeader w:val="false"/>
        </w:trPr>
        <w:tc>
          <w:tcPr>
            <w:tcW w:type="dxa" w:w="20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본부장·총괄</w:t>
            </w:r>
          </w:p>
        </w:tc>
        <w:tc>
          <w:tcPr>
            <w:tcW w:type="dxa" w:w="75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보고 요청 없이 미연락·지연·고감도·방문 일정을 상시 확인. 관리의 초점이 보고 취합에서 병목 해소로 이동. 담당자별 처리 품질이 표준 지표로 비교되어 코칭과 배정 조정의 근거 확보</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지원 주체</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지원금의 사용처와 성과가 매체·캠페인·고객 단위로 추적됨. 지원 제도의 통제 문제(2.4)가 해소되고 지원 확대·축소 판단의 근거 확보</w:t>
            </w:r>
          </w:p>
        </w:tc>
      </w:tr>
      <w:tr>
        <w:trPr>
          <w:cantSplit/>
          <w:tblHeader w:val="false"/>
        </w:trPr>
        <w:tc>
          <w:tcPr>
            <w:tcW w:type="dxa" w:w="20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담당자</w:t>
            </w:r>
          </w:p>
        </w:tc>
        <w:tc>
          <w:tcPr>
            <w:tcW w:type="dxa" w:w="75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소재와 관심 주제가 보존된 DB를 수령하여 첫 통화의 품질이 개선됨. 표준 근거팩과 거절 대응 자료로 상담의 개인 편차 감소. 가망 없는 응대 시간이 감소하고 고감도 고객에 집중 가능</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대외 보고 (대주단·신탁사)</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전망과 대응 계획을 검증 가능한 데이터에 기반하여 작성 가능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15.3 성과에 대한 한계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성과 보장 배제의 전제(중요 전제)는 본 장의 기대 효과에 동일하게 적용됩니다.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 기대 효과는 </w:t>
      </w:r>
      <w:r>
        <w:rPr>
          <w:rFonts w:ascii="맑은 고딕" w:cs="맑은 고딕" w:eastAsia="맑은 고딕" w:hAnsi="맑은 고딕"/>
          <w:b/>
          <w:bCs/>
          <w:i w:val="false"/>
          <w:iCs w:val="false"/>
          <w:color w:val="1A1A1A"/>
          <w:sz w:val="20"/>
          <w:szCs w:val="20"/>
        </w:rPr>
        <w:t xml:space="preserve">운영 구조가 만들어내는 확인 가능한 상태의 변화</w:t>
      </w:r>
      <w:r>
        <w:rPr>
          <w:rFonts w:ascii="맑은 고딕" w:cs="맑은 고딕" w:eastAsia="맑은 고딕" w:hAnsi="맑은 고딕"/>
          <w:b w:val="false"/>
          <w:bCs w:val="false"/>
          <w:i w:val="false"/>
          <w:iCs w:val="false"/>
          <w:color w:val="1A1A1A"/>
          <w:sz w:val="20"/>
          <w:szCs w:val="20"/>
        </w:rPr>
        <w:t xml:space="preserve">이며, 그 상태 위에서 계약 성과의 확률을 높여가는 것이 본 시스템의 작동 방식입니다. 성과는 계약 시 합의한 데이터로 측정합니다(10.2).</w:t>
      </w:r>
    </w:p>
    <w:p>
      <w:pPr>
        <w:pStyle w:val="Heading2"/>
        <w:keepNext/>
        <w:spacing w:after="140" w:before="300"/>
      </w:pPr>
      <w:r>
        <w:rPr>
          <w:rFonts w:ascii="맑은 고딕" w:cs="맑은 고딕" w:eastAsia="맑은 고딕" w:hAnsi="맑은 고딕"/>
          <w:b/>
          <w:bCs/>
          <w:color w:val="1A1A1A"/>
          <w:sz w:val="23"/>
          <w:szCs w:val="23"/>
        </w:rPr>
        <w:t xml:space="preserve">15.4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보장할 수 없는 것을 보장하지 않는 것이 본 제안의 신뢰 기반입니다.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검증 가능한 상태 변화가 축적될수록 계약 성과의 기대값은 상승하며, 그 축적 과정 전체를 발주처가 데이터로 확인할 수 있습니다.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제16장. 다음 단계</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첫 미팅은 판매가 아니라 진단으로 진행합니다.</w:t>
      </w:r>
    </w:p>
    <w:p>
      <w:pPr>
        <w:keepNext/>
        <w:spacing w:after="90" w:before="220"/>
      </w:pPr>
      <w:r>
        <w:rPr>
          <w:rFonts w:ascii="맑은 고딕" w:cs="맑은 고딕" w:eastAsia="맑은 고딕" w:hAnsi="맑은 고딕"/>
          <w:b/>
          <w:bCs/>
          <w:color w:val="1F3864"/>
          <w:sz w:val="18"/>
          <w:szCs w:val="18"/>
        </w:rPr>
        <w:t xml:space="preserve">[표 16-1]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전 합의가 부족한 계약은 운영 중 분쟁과 지연으로 되돌아온다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가용성·계정 권한·개인정보·범위가 계약 후에야 확인되는 관행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첫 미팅 진단(16.1) → 우선 진단 항목(16.2) → 계약 전 5단계 절차(16.3)로 착수 전에 기준을 확정한다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시점에 기준선·범위·책임이 확정된 상태로 운영이 시작된다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16.1 첫 미팅에서 확인할 사항</w:t>
      </w:r>
    </w:p>
    <w:p>
      <w:pPr>
        <w:keepNext/>
        <w:spacing w:after="90" w:before="220"/>
      </w:pPr>
      <w:r>
        <w:rPr>
          <w:rFonts w:ascii="맑은 고딕" w:cs="맑은 고딕" w:eastAsia="맑은 고딕" w:hAnsi="맑은 고딕"/>
          <w:b/>
          <w:bCs/>
          <w:color w:val="1F3864"/>
          <w:sz w:val="18"/>
          <w:szCs w:val="18"/>
        </w:rPr>
        <w:t xml:space="preserve">[표 16-2] 첫 미팅 진행 순서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순서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기본 정보와 현재 가장 큰 판매·광고·상담 문제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광고비·계정·DB·방문·계약 데이터의 확인 가능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현장분석에 필요한 자료와 외부 데이터의 가용성·권한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범위와 성공 기준의 합의 방향</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광고비·수수료·콘텐츠 제작비·업무툴·개인정보·종료 정산의 구분 기준</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당사의 첫 제안.</w:t>
      </w:r>
      <w:r>
        <w:rPr>
          <w:rFonts w:ascii="맑은 고딕" w:cs="맑은 고딕" w:eastAsia="맑은 고딕" w:hAnsi="맑은 고딕"/>
          <w:b w:val="false"/>
          <w:bCs w:val="false"/>
          <w:i w:val="false"/>
          <w:iCs w:val="false"/>
          <w:color w:val="1A1A1A"/>
          <w:sz w:val="20"/>
          <w:szCs w:val="20"/>
        </w:rPr>
        <w:t xml:space="preserve"> 현재 현장의 분양가, 주변 실거래, 입주 물량, 청약 결과, 경쟁 현장을 먼저 분석하겠습니다. 분석 결과를 바탕으로 고객이 반응할 광고 질문과 AI 진단리포트 샘플을 제시하겠습니다.</w:t>
      </w:r>
    </w:p>
    <w:p>
      <w:pPr>
        <w:pStyle w:val="Heading2"/>
        <w:keepNext/>
        <w:spacing w:after="140" w:before="300"/>
      </w:pPr>
      <w:r>
        <w:rPr>
          <w:rFonts w:ascii="맑은 고딕" w:cs="맑은 고딕" w:eastAsia="맑은 고딕" w:hAnsi="맑은 고딕"/>
          <w:b/>
          <w:bCs/>
          <w:color w:val="1A1A1A"/>
          <w:sz w:val="23"/>
          <w:szCs w:val="23"/>
        </w:rPr>
        <w:t xml:space="preserve">16.2 우선 진단 항목</w:t>
      </w:r>
    </w:p>
    <w:p>
      <w:pPr>
        <w:keepNext/>
        <w:spacing w:after="90" w:before="220"/>
      </w:pPr>
      <w:r>
        <w:rPr>
          <w:rFonts w:ascii="맑은 고딕" w:cs="맑은 고딕" w:eastAsia="맑은 고딕" w:hAnsi="맑은 고딕"/>
          <w:b/>
          <w:bCs/>
          <w:color w:val="1F3864"/>
          <w:sz w:val="18"/>
          <w:szCs w:val="18"/>
        </w:rPr>
        <w:t xml:space="preserve">[표 16-3] 착수 전 진단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진단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분양가와 총취득원가, 주변 실거래·전세·비교단지의 차이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 물량·미분양·청약 결과·경쟁 현장의 시기와 공급 부담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상주·근무·방문·이동·주택구매 수요의 실제 생활권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교통·도시계획·공공투자·일자리 프로젝트의 추진 단계와 현장 효과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설득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고객이 반응할 질문, 가격 설득 논리, 반대근거와 표현 위험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적용 가능한 광고 채널과 콘텐츠 구성, 실제 매체 집행 예산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별도 콘텐츠 제작비, 계정·잔액 확인 방법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배정·연락·상담·방문·계약 관리와 개선 가능한 현장 병목</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16.3 계약 전 진행 절차</w:t>
      </w:r>
    </w:p>
    <w:p>
      <w:pPr>
        <w:keepNext/>
        <w:spacing w:after="90" w:before="220"/>
      </w:pPr>
      <w:r>
        <w:rPr>
          <w:rFonts w:ascii="맑은 고딕" w:cs="맑은 고딕" w:eastAsia="맑은 고딕" w:hAnsi="맑은 고딕"/>
          <w:b/>
          <w:bCs/>
          <w:color w:val="1F3864"/>
          <w:sz w:val="18"/>
          <w:szCs w:val="18"/>
        </w:rPr>
        <w:t xml:space="preserve">[표 16-4] 계약 전 5단계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411"/>
        <w:gridCol w:w="507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순서</w:t>
            </w:r>
          </w:p>
        </w:tc>
        <w:tc>
          <w:tcPr>
            <w:tcW w:type="dxa" w:w="34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의사결정</w:t>
            </w:r>
          </w:p>
        </w:tc>
        <w:tc>
          <w:tcPr>
            <w:tcW w:type="dxa" w:w="50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필요 자료·결과</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비밀유지·자료 제공 범위 합의</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NDA, 자료 목록, 담당자 지정</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34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진단 범위·일정·가격 확정</w:t>
            </w:r>
          </w:p>
        </w:tc>
        <w:tc>
          <w:tcPr>
            <w:tcW w:type="dxa" w:w="50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현장명·주소·분양조건, 데이터 가용성</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광고·업무 운영 기준 확정</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계정, 퍼널 정의, 연락 기준, 개인정보</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34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제작 범위 확정</w:t>
            </w:r>
          </w:p>
        </w:tc>
        <w:tc>
          <w:tcPr>
            <w:tcW w:type="dxa" w:w="50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품목·수량·수정·권리·납기</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회의 및 기준선 측정</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착수계, 운영계획, 검수·보고 체계</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16.4 맺음말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분양광고의 성과는 광고 소재를 교체한다고 만들어지지 않습니다. 고객이 현장을 검토할 근거가 있어야 하고, 그 근거가 광고와 상담에서 일관되게 전달되어야 하며, 유입된 고객이 적시에 관리되어야 합니다. 그리고 시행사는 광고비와 고객 결과를 직접 확인할 수 있어야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광고대행의 업무는 광고 집행에서 시작하여 DB 전달에서 종료됩니다. 분양하마의 업무는 현장분석에서 시작하여 계약과 학습을 거쳐 다음 주기의 최적화로 이어집니다.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발주처가 계약하는 것은 광고 서비스가 아니라, </w:t>
      </w:r>
      <w:r>
        <w:rPr>
          <w:rFonts w:ascii="맑은 고딕" w:cs="맑은 고딕" w:eastAsia="맑은 고딕" w:hAnsi="맑은 고딕"/>
          <w:b/>
          <w:bCs/>
          <w:i w:val="false"/>
          <w:iCs w:val="false"/>
          <w:color w:val="1A1A1A"/>
          <w:sz w:val="20"/>
          <w:szCs w:val="20"/>
        </w:rPr>
        <w:t xml:space="preserve">열 단계 전체를 하나의 책임으로 운영하는 체계</w:t>
      </w:r>
      <w:r>
        <w:rPr>
          <w:rFonts w:ascii="맑은 고딕" w:cs="맑은 고딕" w:eastAsia="맑은 고딕" w:hAnsi="맑은 고딕"/>
          <w:b w:val="false"/>
          <w:bCs w:val="false"/>
          <w:i w:val="false"/>
          <w:iCs w:val="false"/>
          <w:color w:val="1A1A1A"/>
          <w:sz w:val="20"/>
          <w:szCs w:val="20"/>
        </w:rPr>
        <w:t xml:space="preserve">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광고비는 투명하게 · 고객관리는 실시간으로 · 콘텐츠는 현장마다 다르게</w:t>
            </w:r>
          </w:p>
        </w:tc>
      </w:tr>
    </w:tbl>
    <w:p>
      <w:pPr>
        <w:spacing w:after="180" w:before="0"/>
      </w:pP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제17장. 부록</w:t>
      </w:r>
    </w:p>
    <w:p>
      <w:pPr>
        <w:pStyle w:val="Heading2"/>
        <w:keepNext/>
        <w:spacing w:after="140" w:before="300"/>
      </w:pPr>
      <w:r>
        <w:rPr>
          <w:rFonts w:ascii="맑은 고딕" w:cs="맑은 고딕" w:eastAsia="맑은 고딕" w:hAnsi="맑은 고딕"/>
          <w:b/>
          <w:bCs/>
          <w:color w:val="1A1A1A"/>
          <w:sz w:val="23"/>
          <w:szCs w:val="23"/>
        </w:rPr>
        <w:t xml:space="preserve">부록 A. 데이터 제공범위와 커버리지 기준</w:t>
      </w:r>
    </w:p>
    <w:p>
      <w:pPr>
        <w:pStyle w:val="Heading3"/>
        <w:keepNext/>
        <w:spacing w:after="110" w:before="240"/>
      </w:pPr>
      <w:r>
        <w:rPr>
          <w:rFonts w:ascii="맑은 고딕" w:cs="맑은 고딕" w:eastAsia="맑은 고딕" w:hAnsi="맑은 고딕"/>
          <w:b/>
          <w:bCs/>
          <w:color w:val="5A5A5A"/>
          <w:sz w:val="20"/>
          <w:szCs w:val="20"/>
        </w:rPr>
        <w:t xml:space="preserve">A.1 커버리지 4분류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계약 전 제출하는 커버리지표는 현장별 데이터 항목을 다음 네 가지로 판정합니다.</w:t>
      </w:r>
    </w:p>
    <w:p>
      <w:pPr>
        <w:keepNext/>
        <w:spacing w:after="90" w:before="220"/>
      </w:pPr>
      <w:r>
        <w:rPr>
          <w:rFonts w:ascii="맑은 고딕" w:cs="맑은 고딕" w:eastAsia="맑은 고딕" w:hAnsi="맑은 고딕"/>
          <w:b/>
          <w:bCs/>
          <w:color w:val="1F3864"/>
          <w:sz w:val="18"/>
          <w:szCs w:val="18"/>
        </w:rPr>
        <w:t xml:space="preserve">[표 A-1] 커버리지 판정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060"/>
        <w:gridCol w:w="442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w:t>
            </w:r>
          </w:p>
        </w:tc>
        <w:tc>
          <w:tcPr>
            <w:tcW w:type="dxa" w:w="40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의미</w:t>
            </w:r>
          </w:p>
        </w:tc>
        <w:tc>
          <w:tcPr>
            <w:tcW w:type="dxa" w:w="44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확보 가능</w:t>
            </w:r>
          </w:p>
        </w:tc>
        <w:tc>
          <w:tcPr>
            <w:tcW w:type="dxa" w:w="40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데이터로 즉시 분석 가능</w:t>
            </w:r>
          </w:p>
        </w:tc>
        <w:tc>
          <w:tcPr>
            <w:tcW w:type="dxa" w:w="44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분석에 포함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조건부</w:t>
            </w:r>
          </w:p>
        </w:tc>
        <w:tc>
          <w:tcPr>
            <w:tcW w:type="dxa" w:w="40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기관별 공개 수준·권한에 따라 적용</w:t>
            </w:r>
          </w:p>
        </w:tc>
        <w:tc>
          <w:tcPr>
            <w:tcW w:type="dxa" w:w="44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확인 후 범위 확정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미확보</w:t>
            </w:r>
          </w:p>
        </w:tc>
        <w:tc>
          <w:tcPr>
            <w:tcW w:type="dxa" w:w="40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이용 불가</w:t>
            </w:r>
          </w:p>
        </w:tc>
        <w:tc>
          <w:tcPr>
            <w:tcW w:type="dxa" w:w="44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판매 주장 제외 또는 분석 재설계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가능</w:t>
            </w:r>
          </w:p>
        </w:tc>
        <w:tc>
          <w:tcPr>
            <w:tcW w:type="dxa" w:w="40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 대체 데이터로 근사 분석 가능</w:t>
            </w:r>
          </w:p>
        </w:tc>
        <w:tc>
          <w:tcPr>
            <w:tcW w:type="dxa" w:w="44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근거와 한계 표시 후 사용</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A.2 데이터 분류별 제공범위</w:t>
      </w:r>
    </w:p>
    <w:p>
      <w:pPr>
        <w:keepNext/>
        <w:spacing w:after="90" w:before="220"/>
      </w:pPr>
      <w:r>
        <w:rPr>
          <w:rFonts w:ascii="맑은 고딕" w:cs="맑은 고딕" w:eastAsia="맑은 고딕" w:hAnsi="맑은 고딕"/>
          <w:b/>
          <w:bCs/>
          <w:color w:val="1F3864"/>
          <w:sz w:val="18"/>
          <w:szCs w:val="18"/>
        </w:rPr>
        <w:t xml:space="preserve">[표 A-2] 데이터 구분과 적용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2"/>
        <w:gridCol w:w="5343"/>
        <w:gridCol w:w="3143"/>
      </w:tblGrid>
      <w:tr>
        <w:trPr>
          <w:cantSplit/>
          <w:tblHeader/>
        </w:trPr>
        <w:tc>
          <w:tcPr>
            <w:tcW w:type="dxa" w:w="1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53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데이터 항목</w:t>
            </w:r>
          </w:p>
        </w:tc>
        <w:tc>
          <w:tcPr>
            <w:tcW w:type="dxa" w:w="31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기준</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분석</w:t>
            </w:r>
          </w:p>
        </w:tc>
        <w:tc>
          <w:tcPr>
            <w:tcW w:type="dxa" w:w="53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실거래, 청약, 인구, 가구, 사업체, 공급, 도시계획</w:t>
            </w:r>
          </w:p>
        </w:tc>
        <w:tc>
          <w:tcPr>
            <w:tcW w:type="dxa" w:w="31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데이터 범위와 기준일 확인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지역별 분석</w:t>
            </w:r>
          </w:p>
        </w:tc>
        <w:tc>
          <w:tcPr>
            <w:tcW w:type="dxa" w:w="53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대중교통, 생활권, 상권, 개폐업, 도로</w:t>
            </w:r>
          </w:p>
        </w:tc>
        <w:tc>
          <w:tcPr>
            <w:tcW w:type="dxa" w:w="31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기관별 공개 수준에 따라 적용</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협의</w:t>
            </w:r>
          </w:p>
        </w:tc>
        <w:tc>
          <w:tcPr>
            <w:tcW w:type="dxa" w:w="53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모바일 유동인구, 익명 카드소비, 민간 매물</w:t>
            </w:r>
          </w:p>
        </w:tc>
        <w:tc>
          <w:tcPr>
            <w:tcW w:type="dxa" w:w="31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제휴·라이선스·비용 확인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분석</w:t>
            </w:r>
          </w:p>
        </w:tc>
        <w:tc>
          <w:tcPr>
            <w:tcW w:type="dxa" w:w="53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 상권, 사업체, 교통, 인구이동, 실거래 기반 대체</w:t>
            </w:r>
          </w:p>
        </w:tc>
        <w:tc>
          <w:tcPr>
            <w:tcW w:type="dxa" w:w="31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근거와 한계 표시</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A.3 데이터 적합성 등급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5축 평가(5.4.5)의 합산 점수에 따라 등급을 부여하고 사용 범위를 제한합니다.</w:t>
      </w:r>
    </w:p>
    <w:p>
      <w:pPr>
        <w:keepNext/>
        <w:spacing w:after="90" w:before="220"/>
      </w:pPr>
      <w:r>
        <w:rPr>
          <w:rFonts w:ascii="맑은 고딕" w:cs="맑은 고딕" w:eastAsia="맑은 고딕" w:hAnsi="맑은 고딕"/>
          <w:b/>
          <w:bCs/>
          <w:color w:val="1F3864"/>
          <w:sz w:val="18"/>
          <w:szCs w:val="18"/>
        </w:rPr>
        <w:t xml:space="preserve">[표 A-3] 적합성 등급별 사용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480"/>
        <w:gridCol w:w="400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등급</w:t>
            </w:r>
          </w:p>
        </w:tc>
        <w:tc>
          <w:tcPr>
            <w:tcW w:type="dxa" w:w="44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해석</w:t>
            </w:r>
          </w:p>
        </w:tc>
        <w:tc>
          <w:tcPr>
            <w:tcW w:type="dxa" w:w="40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w:t>
            </w:r>
          </w:p>
        </w:tc>
        <w:tc>
          <w:tcPr>
            <w:tcW w:type="dxa" w:w="44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핵심 분석에 직접 사용 가능</w:t>
            </w:r>
          </w:p>
        </w:tc>
        <w:tc>
          <w:tcPr>
            <w:tcW w:type="dxa" w:w="40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수치·모델·고객 설명에 사용</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B</w:t>
            </w:r>
          </w:p>
        </w:tc>
        <w:tc>
          <w:tcPr>
            <w:tcW w:type="dxa" w:w="44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보정 또는 보조근거와 함께 사용</w:t>
            </w:r>
          </w:p>
        </w:tc>
        <w:tc>
          <w:tcPr>
            <w:tcW w:type="dxa" w:w="40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계산과 해석에 제한적 사용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w:t>
            </w:r>
          </w:p>
        </w:tc>
        <w:tc>
          <w:tcPr>
            <w:tcW w:type="dxa" w:w="44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탐색·가설 생성용</w:t>
            </w:r>
          </w:p>
        </w:tc>
        <w:tc>
          <w:tcPr>
            <w:tcW w:type="dxa" w:w="40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표현 전 추가 검증 필요</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w:t>
            </w:r>
          </w:p>
        </w:tc>
        <w:tc>
          <w:tcPr>
            <w:tcW w:type="dxa" w:w="44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치명적 결함 또는 권한 불명</w:t>
            </w:r>
          </w:p>
        </w:tc>
        <w:tc>
          <w:tcPr>
            <w:tcW w:type="dxa" w:w="40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 사용 금지</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A.4 수집 방식별 통제</w:t>
      </w:r>
    </w:p>
    <w:p>
      <w:pPr>
        <w:keepNext/>
        <w:spacing w:after="90" w:before="220"/>
      </w:pPr>
      <w:r>
        <w:rPr>
          <w:rFonts w:ascii="맑은 고딕" w:cs="맑은 고딕" w:eastAsia="맑은 고딕" w:hAnsi="맑은 고딕"/>
          <w:b/>
          <w:bCs/>
          <w:color w:val="1F3864"/>
          <w:sz w:val="18"/>
          <w:szCs w:val="18"/>
        </w:rPr>
        <w:t xml:space="preserve">[표 A-4] 수집 모드와 통제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39"/>
        <w:gridCol w:w="4249"/>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수집 방식</w:t>
            </w:r>
          </w:p>
        </w:tc>
        <w:tc>
          <w:tcPr>
            <w:tcW w:type="dxa" w:w="423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설명</w:t>
            </w:r>
          </w:p>
        </w:tc>
        <w:tc>
          <w:tcPr>
            <w:tcW w:type="dxa" w:w="42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저장·통제 항목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API</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또는 계약 API로 정형 수집</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키, 호출 한도, 기준일, 응답 원문, 약관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FILE</w:t>
            </w:r>
          </w:p>
        </w:tc>
        <w:tc>
          <w:tcPr>
            <w:tcW w:type="dxa" w:w="423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공공데이터·기관·고객사 파일 수령</w:t>
            </w:r>
          </w:p>
        </w:tc>
        <w:tc>
          <w:tcPr>
            <w:tcW w:type="dxa" w:w="42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파일 해시, 버전, 제공자, 이용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DOC</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고시·보고서·예산서·평가서·공고 문서</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 URL, 페이지, 문단, 발행기관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LICENSED</w:t>
            </w:r>
          </w:p>
        </w:tc>
        <w:tc>
          <w:tcPr>
            <w:tcW w:type="dxa" w:w="423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통신·카드·소득 등 민간 라이선스 데이터</w:t>
            </w:r>
          </w:p>
        </w:tc>
        <w:tc>
          <w:tcPr>
            <w:tcW w:type="dxa" w:w="42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계약기간, 가공·재배포·보관·삭제 조건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MANUAL</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현장조사·담당자 입력·전화 확인</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입력자, 일시, 증빙, 교차검증, 신뢰등급</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A.5 수집 경로별 통제 규칙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수집 단계에서 적용되는 공통 규칙입니다. 이 규칙들은 분석 품질이 아니라 </w:t>
      </w:r>
      <w:r>
        <w:rPr>
          <w:rFonts w:ascii="맑은 고딕" w:cs="맑은 고딕" w:eastAsia="맑은 고딕" w:hAnsi="맑은 고딕"/>
          <w:b/>
          <w:bCs/>
          <w:i w:val="false"/>
          <w:iCs w:val="false"/>
          <w:color w:val="1A1A1A"/>
          <w:sz w:val="20"/>
          <w:szCs w:val="20"/>
        </w:rPr>
        <w:t xml:space="preserve">재현 가능성과 자격증명 보호</w:t>
      </w:r>
      <w:r>
        <w:rPr>
          <w:rFonts w:ascii="맑은 고딕" w:cs="맑은 고딕" w:eastAsia="맑은 고딕" w:hAnsi="맑은 고딕"/>
          <w:b w:val="false"/>
          <w:bCs w:val="false"/>
          <w:i w:val="false"/>
          <w:iCs w:val="false"/>
          <w:color w:val="1A1A1A"/>
          <w:sz w:val="20"/>
          <w:szCs w:val="20"/>
        </w:rPr>
        <w:t xml:space="preserve">를 위한 것입니다.</w:t>
      </w:r>
    </w:p>
    <w:p>
      <w:pPr>
        <w:keepNext/>
        <w:spacing w:after="90" w:before="220"/>
      </w:pPr>
      <w:r>
        <w:rPr>
          <w:rFonts w:ascii="맑은 고딕" w:cs="맑은 고딕" w:eastAsia="맑은 고딕" w:hAnsi="맑은 고딕"/>
          <w:b/>
          <w:bCs/>
          <w:color w:val="1F3864"/>
          <w:sz w:val="18"/>
          <w:szCs w:val="18"/>
        </w:rPr>
        <w:t xml:space="preserve">[표 A-5] 수집 공통 규칙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규칙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응답 보관</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API 응답을 원문 그대로 캐시에 저장. 동일 요청은 재호출하지 않으며, 네트워크 없이 캐시만으로 재실행하여 </w:t>
            </w:r>
            <w:r>
              <w:rPr>
                <w:rFonts w:ascii="맑은 고딕" w:cs="맑은 고딕" w:eastAsia="맑은 고딕" w:hAnsi="맑은 고딕"/>
                <w:b/>
                <w:bCs/>
                <w:color w:val="1A1A1A"/>
                <w:sz w:val="18"/>
                <w:szCs w:val="18"/>
              </w:rPr>
              <w:t xml:space="preserve">같은 리포트를 재현</w:t>
            </w:r>
            <w:r>
              <w:rPr>
                <w:rFonts w:ascii="맑은 고딕" w:cs="맑은 고딕" w:eastAsia="맑은 고딕" w:hAnsi="맑은 고딕"/>
                <w:color w:val="1A1A1A"/>
                <w:sz w:val="18"/>
                <w:szCs w:val="18"/>
              </w:rPr>
              <w:t xml:space="preserve">할 수 있음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이력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출처명·요청 시각·응답 SHA-256 해시를 기록하여 근거원장(5.9.2)의 입력으로 사용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자격증명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인증키는 이력·산출물 어디에도 기록되지 않음 (마스킹 처리)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재시도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네트워크 오류 시 지수 백오프로 재시도하며, 실패 시 해당 레이어만 건너뛰고 '미수집'으로 표기 — 한 레이어의 장애가 전체 분석을 중단시키지 않음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정보 차단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기준일 이후에 발생한 관측은 수집 단계와 분석 단계 양쪽에서 배제 (5.10.2)</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부록 B. 현장분석 적용 기준</w:t>
      </w:r>
    </w:p>
    <w:p>
      <w:pPr>
        <w:keepNext/>
        <w:spacing w:after="90" w:before="220"/>
      </w:pPr>
      <w:r>
        <w:rPr>
          <w:rFonts w:ascii="맑은 고딕" w:cs="맑은 고딕" w:eastAsia="맑은 고딕" w:hAnsi="맑은 고딕"/>
          <w:b/>
          <w:bCs/>
          <w:color w:val="1F3864"/>
          <w:sz w:val="18"/>
          <w:szCs w:val="18"/>
        </w:rPr>
        <w:t xml:space="preserve">[표 B-1] 영역별 분석 프레임과 주의사항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62"/>
        <w:gridCol w:w="4271"/>
      </w:tblGrid>
      <w:tr>
        <w:trPr>
          <w:cantSplit/>
          <w:tblHeader/>
        </w:trPr>
        <w:tc>
          <w:tcPr>
            <w:tcW w:type="dxa" w:w="12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41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기본 프레임</w:t>
            </w:r>
          </w:p>
        </w:tc>
        <w:tc>
          <w:tcPr>
            <w:tcW w:type="dxa" w:w="42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주의사항</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500m·1km·3km 및 실제 이동시간</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지형·도로·데이터 해상도에 따라 조정</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시계열</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인구·일자리·소비·거래·공급의 다년 변화</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일시 효과와 구조적 변화 구분</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총취득원가·비교단지·거래량·취소거래</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호가와 이상 고가거래 분리</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계획·인허가·착공·입주 단계</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실현 가능성과 시차 반영 (확률조정 공급)</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공식성·예산·사업주체·착공·반대근거</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이후 변경 가능성 명시</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데이터</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유동인구·카드소비·민간 매물</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권한·라이선스·비용 확인 후 적용</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공통 원칙: 확정 사실·계산·해석·예측·한계를 분리하고(5.9.1), 원문 링크와 산출 방식을 기록합니다(5.9.2).</w:t>
      </w:r>
    </w:p>
    <w:p>
      <w:pPr>
        <w:pStyle w:val="Heading2"/>
        <w:keepNext/>
        <w:spacing w:after="140" w:before="300"/>
      </w:pPr>
      <w:r>
        <w:rPr>
          <w:rFonts w:ascii="맑은 고딕" w:cs="맑은 고딕" w:eastAsia="맑은 고딕" w:hAnsi="맑은 고딕"/>
          <w:b/>
          <w:bCs/>
          <w:color w:val="1A1A1A"/>
          <w:sz w:val="23"/>
          <w:szCs w:val="23"/>
        </w:rPr>
        <w:t xml:space="preserve">부록 C. 주요 근거자료 및 출처</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확인 기준일: 2026년 7월 25일.</w:t>
      </w:r>
      <w:r>
        <w:rPr>
          <w:rFonts w:ascii="맑은 고딕" w:cs="맑은 고딕" w:eastAsia="맑은 고딕" w:hAnsi="맑은 고딕"/>
          <w:b w:val="false"/>
          <w:bCs w:val="false"/>
          <w:i w:val="false"/>
          <w:iCs w:val="false"/>
          <w:color w:val="1A1A1A"/>
          <w:sz w:val="20"/>
          <w:szCs w:val="20"/>
        </w:rPr>
        <w:t xml:space="preserve"> 실제 현장 제안 시 데이터 제공범위·이용조건·업데이트 여부를 다시 확인합니다.</w:t>
      </w:r>
    </w:p>
    <w:p>
      <w:pPr>
        <w:pStyle w:val="Heading3"/>
        <w:keepNext/>
        <w:spacing w:after="110" w:before="240"/>
      </w:pPr>
      <w:r>
        <w:rPr>
          <w:rFonts w:ascii="맑은 고딕" w:cs="맑은 고딕" w:eastAsia="맑은 고딕" w:hAnsi="맑은 고딕"/>
          <w:b/>
          <w:bCs/>
          <w:color w:val="5A5A5A"/>
          <w:sz w:val="20"/>
          <w:szCs w:val="20"/>
        </w:rPr>
        <w:t xml:space="preserve">C.1 공공·부동산 데이터</w:t>
      </w:r>
    </w:p>
    <w:p>
      <w:pPr>
        <w:keepNext/>
        <w:spacing w:after="90" w:before="220"/>
      </w:pPr>
      <w:r>
        <w:rPr>
          <w:rFonts w:ascii="맑은 고딕" w:cs="맑은 고딕" w:eastAsia="맑은 고딕" w:hAnsi="맑은 고딕"/>
          <w:b/>
          <w:bCs/>
          <w:color w:val="1F3864"/>
          <w:sz w:val="18"/>
          <w:szCs w:val="18"/>
        </w:rPr>
        <w:t xml:space="preserve">[표 C-1] 핵심 공공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972"/>
        <w:gridCol w:w="5516"/>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코드</w:t>
            </w:r>
          </w:p>
        </w:tc>
        <w:tc>
          <w:tcPr>
            <w:tcW w:type="dxa" w:w="297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55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 목적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E01</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국토교통부 실거래가 OpenAPI</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실거래 기반 가격·거래량 분석 (L11)</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E02</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한국부동산원 청약홈 OpenAPI</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경쟁률·수요 분석 (L12)</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E03</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한국부동산원 R-ONE</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지수·시장 통계 (L11)</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E04</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SGIS 생활권역 통계지도</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시간·거리 기반 생활권 설계 (5.4.1)</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E05</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SGIS OpenAPI 및 이용약관</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격자·집계구 인구·가구·사업체 공간통계 (L1·L2·L4)</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E06</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KDI 공공투자관리센터</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예비타당성·타당성 자료 (성숙도 검증, 5.6)</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C.2 플랫폼·법적 검토</w:t>
      </w:r>
    </w:p>
    <w:p>
      <w:pPr>
        <w:keepNext/>
        <w:spacing w:after="90" w:before="220"/>
      </w:pPr>
      <w:r>
        <w:rPr>
          <w:rFonts w:ascii="맑은 고딕" w:cs="맑은 고딕" w:eastAsia="맑은 고딕" w:hAnsi="맑은 고딕"/>
          <w:b/>
          <w:bCs/>
          <w:color w:val="1F3864"/>
          <w:sz w:val="18"/>
          <w:szCs w:val="18"/>
        </w:rPr>
        <w:t xml:space="preserve">[표 C-2] 플랫폼·법령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659"/>
        <w:gridCol w:w="4829"/>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코드</w:t>
            </w:r>
          </w:p>
        </w:tc>
        <w:tc>
          <w:tcPr>
            <w:tcW w:type="dxa" w:w="36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48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 목적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E07</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토지이음 도시계획·고시정보</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도시계획·용도 관련 법정 고시 확인 (L15)</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E08</w:t>
            </w:r>
          </w:p>
        </w:tc>
        <w:tc>
          <w:tcPr>
            <w:tcW w:type="dxa" w:w="36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Ads 심층전환 가이드</w:t>
            </w:r>
          </w:p>
        </w:tc>
        <w:tc>
          <w:tcPr>
            <w:tcW w:type="dxa" w:w="48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추적·최적화 설계 (제8장)</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E09</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Ads Qualified Lead 안내</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리드 기준 설계 (10.2)</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E10</w:t>
            </w:r>
          </w:p>
        </w:tc>
        <w:tc>
          <w:tcPr>
            <w:tcW w:type="dxa" w:w="36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보호법 제15조·제17조</w:t>
            </w:r>
          </w:p>
        </w:tc>
        <w:tc>
          <w:tcPr>
            <w:tcW w:type="dxa" w:w="48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수집·이용·제3자 제공 기준 (14.4)</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E11</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공정거래위원회 표시·광고 사례</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표현 등급·검수 기준 (14.5)</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C.3 보조 활용 자료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공공데이터포털(공공 API·파일), 소상공인시장진흥공단 상권정보(L9), KTDB 국가교통DB(L7·L8), 열린재정·지방재정365(L14 예산·집행), 환경영향평가정보지원시스템(L14), 나라장터(L14 발주·계약), 국가철도공단(L14), 국가법령정보센터.</w:t>
      </w:r>
    </w:p>
    <w:p>
      <w:pPr>
        <w:pStyle w:val="Heading3"/>
        <w:keepNext/>
        <w:spacing w:after="110" w:before="240"/>
      </w:pPr>
      <w:r>
        <w:rPr>
          <w:rFonts w:ascii="맑은 고딕" w:cs="맑은 고딕" w:eastAsia="맑은 고딕" w:hAnsi="맑은 고딕"/>
          <w:b/>
          <w:bCs/>
          <w:color w:val="5A5A5A"/>
          <w:sz w:val="20"/>
          <w:szCs w:val="20"/>
        </w:rPr>
        <w:t xml:space="preserve">C.4 출처 사용상 주의</w:t>
      </w:r>
    </w:p>
    <w:p>
      <w:pPr>
        <w:keepNext/>
        <w:spacing w:after="90" w:before="220"/>
      </w:pPr>
      <w:r>
        <w:rPr>
          <w:rFonts w:ascii="맑은 고딕" w:cs="맑은 고딕" w:eastAsia="맑은 고딕" w:hAnsi="맑은 고딕"/>
          <w:b/>
          <w:bCs/>
          <w:color w:val="1F3864"/>
          <w:sz w:val="18"/>
          <w:szCs w:val="18"/>
        </w:rPr>
        <w:t xml:space="preserve">[표 C-3] 자료 사용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공공·민간 자료의 제공 항목, 갱신 주기, 이용약관은 변경될 수 있으므로 실제 착수일에 다시 확인한다</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자료라도 분석 목적과 공간·시간 단위가 맞지 않으면 보조 근거로만 사용한다</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유료 민간 데이터는 계약 당사자, 사용 기간, 가공·공개·재배포, 파기 조건을 별도 확인한다</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정부계획은 최신 원문과 후속 예산·계약·보상·착공을 함께 확인하며, 보도자료만으로 확정하지 않는다</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법률·개인정보·광고 표현에 관한 최종 판단은 기준일 현재 시행사 담당 부서 또는 전문가 검토를 거친다</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최종 원칙.</w:t>
            </w:r>
            <w:r>
              <w:rPr>
                <w:rFonts w:ascii="맑은 고딕" w:cs="맑은 고딕" w:eastAsia="맑은 고딕" w:hAnsi="맑은 고딕"/>
                <w:color w:val="1A1A1A"/>
                <w:sz w:val="19"/>
                <w:szCs w:val="19"/>
              </w:rPr>
              <w:t xml:space="preserve"> 공식 데이터는 현상을 보여주고, 공간분석은 현장과의 관련성을 확인하며, 가격모델은 가능한 범위와 불확실성을 계산합니다.</w:t>
            </w:r>
          </w:p>
        </w:tc>
      </w:tr>
    </w:tbl>
    <w:p>
      <w:pPr>
        <w:spacing w:after="180" w:before="0"/>
      </w:pPr>
    </w:p>
    <w:p>
      <w:pPr>
        <w:pStyle w:val="Heading2"/>
        <w:keepNext/>
        <w:spacing w:after="140" w:before="300"/>
      </w:pPr>
      <w:r>
        <w:rPr>
          <w:rFonts w:ascii="맑은 고딕" w:cs="맑은 고딕" w:eastAsia="맑은 고딕" w:hAnsi="맑은 고딕"/>
          <w:b/>
          <w:bCs/>
          <w:color w:val="1A1A1A"/>
          <w:sz w:val="23"/>
          <w:szCs w:val="23"/>
        </w:rPr>
        <w:t xml:space="preserve">부록 D. 용어 정의</w:t>
      </w:r>
    </w:p>
    <w:p>
      <w:pPr>
        <w:keepNext/>
        <w:spacing w:after="90" w:before="220"/>
      </w:pPr>
      <w:r>
        <w:rPr>
          <w:rFonts w:ascii="맑은 고딕" w:cs="맑은 고딕" w:eastAsia="맑은 고딕" w:hAnsi="맑은 고딕"/>
          <w:b/>
          <w:bCs/>
          <w:color w:val="1F3864"/>
          <w:sz w:val="18"/>
          <w:szCs w:val="18"/>
        </w:rPr>
        <w:t xml:space="preserve">[표 D-1] 주요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7745"/>
      </w:tblGrid>
      <w:tr>
        <w:trPr>
          <w:cantSplit/>
          <w:tblHeader/>
        </w:trPr>
        <w:tc>
          <w:tcPr>
            <w:tcW w:type="dxa" w:w="189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용어</w:t>
            </w:r>
          </w:p>
        </w:tc>
        <w:tc>
          <w:tcPr>
            <w:tcW w:type="dxa" w:w="774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본 문서에서의 정의</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현장가치 분석</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공식·허용 데이터와 공간·가격 모델로 현장의 현재 위치, 수요·공급, 위험, 조건부 미래를 구조화하는 분석</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GEO 현장 정보 허브</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검색엔진과 생성형 AI가 현장 정보를 이해·인용하기 쉽도록 질문·답변·근거·구조화 데이터를 갖춘 정보 허브</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가능성·중복·관심도 등 계약 시 합의한 기준을 충족한 상담 DB</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분양가에 옵션·발코니·세금·금융·필수 비용을 더한 고객의 실제 부담액</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비교단지와의 연식·입지·규모·상품·시점 차이를 조정한 비교 가능 가격</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교통·도시계획·공공투자·일자리·생활환경 변화처럼 현장가치에 영향을 줄 수 있는 사건</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진행 단계(검토→고시→예산→계약·보상→착공→개통)를 공식 원문으로 판정한 등급</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공급 물량에 단계별 실현 가능성을 반영하여 집계한 경쟁 공급량</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주장·출처·기준일·공간 범위·계산·한계·사용 가능성을 기록하는 추적 체계</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실집행금액</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운영수수료와 제작비를 제외하고 실제 광고 매체에 지출된 금액</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노출 이후 상담 신청→연결→방문 예약→실방문→계약 검토→계약으로의 상태 변화</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또는 구체 조건 검토 가능성이 높다고 판정된 고객 상태</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폐쇄형 학습구조</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광고→유입→상담→방문→계약→원인 분석→개선이 순환하며 지식이 축적되는 운영 구조</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유형·질문·근거·표현등급의 대응표. 광고·허브·상담의 공통 기준 문서</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근거카드</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결론·근거·산출·반대·영업 사용 지침을 하나로 묶은 검증 단위</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촉매카드</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공식 단계·예산·현장 관련성·반대근거·사용 가능 문장을 정리한 고객용 자료</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수요 전망</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예상 청약경쟁률을 타입별 구간과 미달 위험 등급으로 제시하는 전망 모듈 (부록 E.1)</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적중률</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구간이 사후 실적을 포함한 비율. 예측 신뢰성의 상시 관리 지표 (부록 E.2)</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전망 산출을 발행 시점에 봉인 저장하고 실적과 대조하는 검증 기록 (부록 E.3)</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 ㎡단가를 매매 ㎡단가로 나눈 비율. 가격 하락 시의 완충 두께로 해석 (5.5)</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전세 충당율</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중 전세보증금으로 회수 가능한 비율 (5.5)</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조정계수</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거래를 연식·층·거래시점 차이만큼 보정하는 비율. 실거래 회귀로 추정하되 검증 통과 시에만 교체 (5.4.6)</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홀드아웃 검증</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앞 기간으로 추정한 계수를 뒤 기간에 적용해 실제로 개선되는지 확인하는 절차 (5.4.6)</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결정 시뮬레이션</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후보 가격대별로 밴드 위치·수요·청약·미달 위험을 산출하고 규칙에 따라 권고하는 모듈 (5.5)</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미산출</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표본이 최소 기준에 미달하여 수치를 제시하지 않은 상태. 0이나 공란과 구분하여 표기 (5.4.5)</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부록 E. 예측 검증 체계 (Forecast Governance)</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부록은 제5장의 전망 산출물(가격 시나리오, 청약 수요 전망)이 "검증 가능한 예측"이 되기 위한 기술 명세와 관리 절차를 정의합니다. 원칙은 하나입니다 — </w:t>
      </w:r>
      <w:r>
        <w:rPr>
          <w:rFonts w:ascii="맑은 고딕" w:cs="맑은 고딕" w:eastAsia="맑은 고딕" w:hAnsi="맑은 고딕"/>
          <w:b/>
          <w:bCs/>
          <w:i w:val="false"/>
          <w:iCs w:val="false"/>
          <w:color w:val="1A1A1A"/>
          <w:sz w:val="20"/>
          <w:szCs w:val="20"/>
        </w:rPr>
        <w:t xml:space="preserve">당사의 전망은 발행 후 수정되지 않고, 실적과 대조되어, 그 성적이 발주처에 공개됩니다.</w:t>
      </w:r>
    </w:p>
    <w:p>
      <w:pPr>
        <w:pStyle w:val="Heading3"/>
        <w:keepNext/>
        <w:spacing w:after="110" w:before="240"/>
      </w:pPr>
      <w:r>
        <w:rPr>
          <w:rFonts w:ascii="맑은 고딕" w:cs="맑은 고딕" w:eastAsia="맑은 고딕" w:hAnsi="맑은 고딕"/>
          <w:b/>
          <w:bCs/>
          <w:color w:val="5A5A5A"/>
          <w:sz w:val="20"/>
          <w:szCs w:val="20"/>
        </w:rPr>
        <w:t xml:space="preserve">E.1 청약 수요 전망 모듈 기술 명세</w:t>
      </w:r>
    </w:p>
    <w:p>
      <w:pPr>
        <w:keepNext/>
        <w:spacing w:after="90" w:before="220"/>
      </w:pPr>
      <w:r>
        <w:rPr>
          <w:rFonts w:ascii="맑은 고딕" w:cs="맑은 고딕" w:eastAsia="맑은 고딕" w:hAnsi="맑은 고딕"/>
          <w:b/>
          <w:bCs/>
          <w:color w:val="1F3864"/>
          <w:sz w:val="18"/>
          <w:szCs w:val="18"/>
        </w:rPr>
        <w:t xml:space="preserve">[표 E-1] 모듈 구성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명세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 데이터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시장권 청약 이력(청약홈 공개 데이터): 타입별 경쟁률, 순위 내 마감 여부, 미달, 가점 커트라인, 무순위 전환 이력</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피처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 갭(분양가 대비 주변 시세, 5.5), 동시 분양·입주 파이프라인(L13), 수요 기반(C1·C2), 미분양 재고·소진 속도(L12), 청약 제도(규제지역·전매·가점제 비중), 세대수·타입 구성, 브랜드 등급</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전체·타입별 예상 경쟁률 구간, 미달 위험 등급, 결과를 좌우하는 상위 민감 변수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 레코드(현장, 타입, 예측 구간, 미달 위험, 모델 버전, 입력 데이터 기준일, 발행 시점)를 예측 이력 장부(E.3)에 봉인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시점 분리 백테스트(미래 정보 누출 방지, 5.4.2) 및 실적 확정 후 자동 대조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FORECAST 등급 고정(5.9.1). 조건·범위 없이 단일 수치로 광고·상담에 사용 금지</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E.2 예측 구간의 적중률 관리</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구간 예측은 산출 방식이 고정되고 사후 성적이 측정될 때만 의미를 갖습니다.</w:t>
      </w:r>
    </w:p>
    <w:p>
      <w:pPr>
        <w:keepNext/>
        <w:spacing w:after="90" w:before="220"/>
      </w:pPr>
      <w:r>
        <w:rPr>
          <w:rFonts w:ascii="맑은 고딕" w:cs="맑은 고딕" w:eastAsia="맑은 고딕" w:hAnsi="맑은 고딕"/>
          <w:b/>
          <w:bCs/>
          <w:color w:val="1F3864"/>
          <w:sz w:val="18"/>
          <w:szCs w:val="18"/>
        </w:rPr>
        <w:t xml:space="preserve">[표 E-2] 적중률 관리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3"/>
        <w:gridCol w:w="7815"/>
      </w:tblGrid>
      <w:tr>
        <w:trPr>
          <w:cantSplit/>
          <w:tblHeader/>
        </w:trPr>
        <w:tc>
          <w:tcPr>
            <w:tcW w:type="dxa" w:w="182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산출 방식</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모델별로 단일 방식을 문서로 고정하며, 방식 변경 시 버전과 변경 사유를 기록</w:t>
            </w:r>
          </w:p>
        </w:tc>
      </w:tr>
      <w:tr>
        <w:trPr>
          <w:cantSplit/>
          <w:tblHeader w:val="false"/>
        </w:trPr>
        <w:tc>
          <w:tcPr>
            <w:tcW w:type="dxa" w:w="182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적중률(Coverage) 정의</w:t>
            </w:r>
          </w:p>
        </w:tc>
        <w:tc>
          <w:tcPr>
            <w:tcW w:type="dxa" w:w="78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신뢰수준 X%로 발행한 구간이 사후 실적을 포함한 비율. 목표: 명목 수준과의 정합 (예: 80% 구간은 사후적으로 약 80%를 포함해야 함)</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 주기</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 확정 건 누적 기준으로 분기별 산출, 연 단위 총괄</w:t>
            </w:r>
          </w:p>
        </w:tc>
      </w:tr>
      <w:tr>
        <w:trPr>
          <w:cantSplit/>
          <w:tblHeader w:val="false"/>
        </w:trPr>
        <w:tc>
          <w:tcPr>
            <w:tcW w:type="dxa" w:w="182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 미달 시 조치</w:t>
            </w:r>
          </w:p>
        </w:tc>
        <w:tc>
          <w:tcPr>
            <w:tcW w:type="dxa" w:w="78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구간 폭 재보정 ② 해당 세그먼트의 수치 제시 중단 및 정성 등급 전환(5.4.5) ③ 원인 분석 후 모델 재검토</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보고</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적중률 성적표를 현장 진단리포트의 모델 검증 면에 병기</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E.3 예측 이력 장부</w:t>
      </w:r>
    </w:p>
    <w:p>
      <w:pPr>
        <w:keepNext/>
        <w:spacing w:after="90" w:before="220"/>
      </w:pPr>
      <w:r>
        <w:rPr>
          <w:rFonts w:ascii="맑은 고딕" w:cs="맑은 고딕" w:eastAsia="맑은 고딕" w:hAnsi="맑은 고딕"/>
          <w:b/>
          <w:bCs/>
          <w:color w:val="1F3864"/>
          <w:sz w:val="18"/>
          <w:szCs w:val="18"/>
        </w:rPr>
        <w:t xml:space="preserve">[표 E-3] 장부 운영 규칙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규칙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봉인 저장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FORECAST 산출(가격 시나리오, 청약 전망)은 발행 시점에 전망값·전제·모델 버전·기준일과 함께 저장되며, 발행 후 수정·삭제하지 않음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 대조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실적(실거래, 청약 결과) 확정 시 전망 대비 결과를 자동 대조하여 장부에 기록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성적 공개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전망 대비 실적 총괄표를 발주처 요청 시 제공. 신규 제안 시 검증 증빙으로 활용</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열람권</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발주처는 자기 현장에 관한 전망 이력과 대조 결과의 열람권을 가짐</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불리한 결과의 처리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빗나간 전망도 장부에서 제외하지 않음. 원인 분석과 모델 개선 이력을 함께 기록</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장부의 목적은 무결한 예측 성적의 과시가 아닙니다. 전망은 빗나갈 수 있으며, 중요한 것은 </w:t>
      </w:r>
      <w:r>
        <w:rPr>
          <w:rFonts w:ascii="맑은 고딕" w:cs="맑은 고딕" w:eastAsia="맑은 고딕" w:hAnsi="맑은 고딕"/>
          <w:b/>
          <w:bCs/>
          <w:i w:val="false"/>
          <w:iCs w:val="false"/>
          <w:color w:val="1A1A1A"/>
          <w:sz w:val="20"/>
          <w:szCs w:val="20"/>
        </w:rPr>
        <w:t xml:space="preserve">빗나감이 은폐되지 않고 측정·개선된다는 사실을 발주처가 확인할 수 있는 구조</w:t>
      </w:r>
      <w:r>
        <w:rPr>
          <w:rFonts w:ascii="맑은 고딕" w:cs="맑은 고딕" w:eastAsia="맑은 고딕" w:hAnsi="맑은 고딕"/>
          <w:b w:val="false"/>
          <w:bCs w:val="false"/>
          <w:i w:val="false"/>
          <w:iCs w:val="false"/>
          <w:color w:val="1A1A1A"/>
          <w:sz w:val="20"/>
          <w:szCs w:val="20"/>
        </w:rPr>
        <w:t xml:space="preserve">입니다. 이 구조가 본 제안서의 모든 전망 서술(중요 전제, 5.7, 5.9)을 선언이 아닌 검증 가능한 약속으로 만듭니다.</w:t>
      </w:r>
    </w:p>
    <w:p>
      <w:pPr>
        <w:pStyle w:val="Heading3"/>
        <w:keepNext/>
        <w:spacing w:after="110" w:before="240"/>
      </w:pPr>
      <w:r>
        <w:rPr>
          <w:rFonts w:ascii="맑은 고딕" w:cs="맑은 고딕" w:eastAsia="맑은 고딕" w:hAnsi="맑은 고딕"/>
          <w:b/>
          <w:bCs/>
          <w:color w:val="5A5A5A"/>
          <w:sz w:val="20"/>
          <w:szCs w:val="20"/>
        </w:rPr>
        <w:t xml:space="preserve">E.4 봉인의 감사 — "수정하지 않는다"를 검증 가능하게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"발행 후 수정하지 않는다"는 약속은 그 자체가 검증 대상입니다. 규정에 그렇게 적혀 있다는 것과 실제로 수정이 불가능하다는 것은 다른 상태입니다.</w:t>
      </w:r>
    </w:p>
    <w:p>
      <w:pPr>
        <w:keepNext/>
        <w:spacing w:after="90" w:before="220"/>
      </w:pPr>
      <w:r>
        <w:rPr>
          <w:rFonts w:ascii="맑은 고딕" w:cs="맑은 고딕" w:eastAsia="맑은 고딕" w:hAnsi="맑은 고딕"/>
          <w:b/>
          <w:bCs/>
          <w:color w:val="1F3864"/>
          <w:sz w:val="18"/>
          <w:szCs w:val="18"/>
        </w:rPr>
        <w:t xml:space="preserve">[표 E-4] 장부 감사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점검</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방법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봉인 무결성</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저장된 모든 전망의 본문 해시를 </w:t>
            </w:r>
            <w:r>
              <w:rPr>
                <w:rFonts w:ascii="맑은 고딕" w:cs="맑은 고딕" w:eastAsia="맑은 고딕" w:hAnsi="맑은 고딕"/>
                <w:b/>
                <w:bCs/>
                <w:color w:val="1A1A1A"/>
                <w:sz w:val="18"/>
                <w:szCs w:val="18"/>
              </w:rPr>
              <w:t xml:space="preserve">전수 재계산</w:t>
            </w:r>
            <w:r>
              <w:rPr>
                <w:rFonts w:ascii="맑은 고딕" w:cs="맑은 고딕" w:eastAsia="맑은 고딕" w:hAnsi="맑은 고딕"/>
                <w:color w:val="1A1A1A"/>
                <w:sz w:val="18"/>
                <w:szCs w:val="18"/>
              </w:rPr>
              <w:t xml:space="preserve">하여 저장 시점의 값과 대조. 어긋나면 변조 의심으로 보고</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불변 보장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데이터베이스 수준의 수정·삭제 차단 장치가 </w:t>
            </w:r>
            <w:r>
              <w:rPr>
                <w:rFonts w:ascii="맑은 고딕" w:cs="맑은 고딕" w:eastAsia="맑은 고딕" w:hAnsi="맑은 고딕"/>
                <w:b/>
                <w:bCs/>
                <w:color w:val="1A1A1A"/>
                <w:sz w:val="18"/>
                <w:szCs w:val="18"/>
              </w:rPr>
              <w:t xml:space="preserve">선언되어 있는지가 아니라 실제로 작동하는지</w:t>
            </w:r>
            <w:r>
              <w:rPr>
                <w:rFonts w:ascii="맑은 고딕" w:cs="맑은 고딕" w:eastAsia="맑은 고딕" w:hAnsi="맑은 고딕"/>
                <w:color w:val="1A1A1A"/>
                <w:sz w:val="18"/>
                <w:szCs w:val="18"/>
              </w:rPr>
              <w:t xml:space="preserve">를, 수정 시도를 직접 실행해 확인 (시도는 되돌림)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대조 상태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전망별 실적 확정 여부와 적중 여부를 함께 보고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감사는 발주처가 요청하면 언제든 실행하여 결과를 그대로 제출합니다. 무결성이나 불변 보장 중 하나라도 깨져 있으면 감사는 실패로 종료되며, 그 사실을 숨기지 않습니다.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동일 분석의 재실행에 대하여.</w:t>
      </w:r>
      <w:r>
        <w:rPr>
          <w:rFonts w:ascii="맑은 고딕" w:cs="맑은 고딕" w:eastAsia="맑은 고딕" w:hAnsi="맑은 고딕"/>
          <w:b w:val="false"/>
          <w:bCs w:val="false"/>
          <w:i w:val="false"/>
          <w:iCs w:val="false"/>
          <w:color w:val="1A1A1A"/>
          <w:sz w:val="20"/>
          <w:szCs w:val="20"/>
        </w:rPr>
        <w:t xml:space="preserve"> 같은 입력으로 같은 분석을 다시 실행하면 동일한 전망이 산출됩니다. 이때 새 기록을 추가하지 않고 </w:t>
      </w:r>
      <w:r>
        <w:rPr>
          <w:rFonts w:ascii="맑은 고딕" w:cs="맑은 고딕" w:eastAsia="맑은 고딕" w:hAnsi="맑은 고딕"/>
          <w:b/>
          <w:bCs/>
          <w:i w:val="false"/>
          <w:iCs w:val="false"/>
          <w:color w:val="1A1A1A"/>
          <w:sz w:val="20"/>
          <w:szCs w:val="20"/>
        </w:rPr>
        <w:t xml:space="preserve">기존 봉인을 그대로 참조</w:t>
      </w:r>
      <w:r>
        <w:rPr>
          <w:rFonts w:ascii="맑은 고딕" w:cs="맑은 고딕" w:eastAsia="맑은 고딕" w:hAnsi="맑은 고딕"/>
          <w:b w:val="false"/>
          <w:bCs w:val="false"/>
          <w:i w:val="false"/>
          <w:iCs w:val="false"/>
          <w:color w:val="1A1A1A"/>
          <w:sz w:val="20"/>
          <w:szCs w:val="20"/>
        </w:rPr>
        <w:t xml:space="preserve">합니다 — 같은 내용에 두 개의 장부 항목이 생기면 적중률 통계가 왜곡되기 때문입니다. 구간·모델 버전·기준일 중 하나라도 달라지면 별개의 전망으로 새로 봉인됩니다.</w:t>
      </w:r>
    </w:p>
    <w:p>
      <w:pPr>
        <w:pStyle w:val="Heading3"/>
        <w:keepNext/>
        <w:spacing w:after="110" w:before="240"/>
      </w:pPr>
      <w:r>
        <w:rPr>
          <w:rFonts w:ascii="맑은 고딕" w:cs="맑은 고딕" w:eastAsia="맑은 고딕" w:hAnsi="맑은 고딕"/>
          <w:b/>
          <w:bCs/>
          <w:color w:val="5A5A5A"/>
          <w:sz w:val="20"/>
          <w:szCs w:val="20"/>
        </w:rPr>
        <w:t xml:space="preserve">E.5 조정계수 교정의 검증 기록</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5.4.6의 교정 절차는 실행할 때마다 다음을 기록으로 남깁니다. 계수가 바뀌었든 바뀌지 않았든 동일하게 남깁니다.</w:t>
      </w:r>
    </w:p>
    <w:p>
      <w:pPr>
        <w:keepNext/>
        <w:spacing w:after="90" w:before="220"/>
      </w:pPr>
      <w:r>
        <w:rPr>
          <w:rFonts w:ascii="맑은 고딕" w:cs="맑은 고딕" w:eastAsia="맑은 고딕" w:hAnsi="맑은 고딕"/>
          <w:b/>
          <w:bCs/>
          <w:color w:val="1F3864"/>
          <w:sz w:val="18"/>
          <w:szCs w:val="18"/>
        </w:rPr>
        <w:t xml:space="preserve">[표 E-5] 교정 실행 기록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회귀 결과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관측 수, 설명력, 변수별 추정치·표준오차·유의성</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게이트 판정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계수별 채택·유지 여부와 그 사유 (표본·유의성·부호·범위 중 무엇에 걸렸는가)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홀드아웃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학습·검증 구간의 표본 수, 검증 구간의 조정 후 잔차 분산 변화율, 채택 기준 대비 결과</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적중률 대조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계수와 후보 계수의 백테스트 적중률 (안전장치, 채택 기준 아님)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계수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채택된 계수 값과 출처 표기 ('초기값(미교정)' 또는 '실데이터 교정값')</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기록의 존재 이유는 교정의 성공을 보여주는 것이 아니라, </w:t>
      </w:r>
      <w:r>
        <w:rPr>
          <w:rFonts w:ascii="맑은 고딕" w:cs="맑은 고딕" w:eastAsia="맑은 고딕" w:hAnsi="맑은 고딕"/>
          <w:b/>
          <w:bCs/>
          <w:i w:val="false"/>
          <w:iCs w:val="false"/>
          <w:color w:val="1A1A1A"/>
          <w:sz w:val="20"/>
          <w:szCs w:val="20"/>
        </w:rPr>
        <w:t xml:space="preserve">교정이 기각되었을 때 그 사실이 남게 하는 것</w:t>
      </w:r>
      <w:r>
        <w:rPr>
          <w:rFonts w:ascii="맑은 고딕" w:cs="맑은 고딕" w:eastAsia="맑은 고딕" w:hAnsi="맑은 고딕"/>
          <w:b w:val="false"/>
          <w:bCs w:val="false"/>
          <w:i w:val="false"/>
          <w:iCs w:val="false"/>
          <w:color w:val="1A1A1A"/>
          <w:sz w:val="20"/>
          <w:szCs w:val="20"/>
        </w:rPr>
        <w:t xml:space="preserve">입니다. 기각된 교정이 조용히 사라지면 "계수가 검증되었다"는 인상만 남고 검증의 실질은 사라집니다.</w:t>
      </w:r>
    </w:p>
    <w:p>
      <w:pPr>
        <w:pStyle w:val="Heading2"/>
        <w:keepNext/>
        <w:spacing w:after="140" w:before="300"/>
      </w:pPr>
      <w:r>
        <w:rPr>
          <w:rFonts w:ascii="맑은 고딕" w:cs="맑은 고딕" w:eastAsia="맑은 고딕" w:hAnsi="맑은 고딕"/>
          <w:b/>
          <w:bCs/>
          <w:color w:val="1A1A1A"/>
          <w:sz w:val="23"/>
          <w:szCs w:val="23"/>
        </w:rPr>
        <w:t xml:space="preserve">부록 F. 구현 현황과 검증 상태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제안서는 통상 "무엇을 하겠다"를 말합니다. 본 부록은 그중 </w:t>
      </w:r>
      <w:r>
        <w:rPr>
          <w:rFonts w:ascii="맑은 고딕" w:cs="맑은 고딕" w:eastAsia="맑은 고딕" w:hAnsi="맑은 고딕"/>
          <w:b/>
          <w:bCs/>
          <w:i w:val="false"/>
          <w:iCs w:val="false"/>
          <w:color w:val="1A1A1A"/>
          <w:sz w:val="20"/>
          <w:szCs w:val="20"/>
        </w:rPr>
        <w:t xml:space="preserve">무엇이 이미 작동하고 있으며, 무엇이 아직 아닌지</w:t>
      </w:r>
      <w:r>
        <w:rPr>
          <w:rFonts w:ascii="맑은 고딕" w:cs="맑은 고딕" w:eastAsia="맑은 고딕" w:hAnsi="맑은 고딕"/>
          <w:b w:val="false"/>
          <w:bCs w:val="false"/>
          <w:i w:val="false"/>
          <w:iCs w:val="false"/>
          <w:color w:val="1A1A1A"/>
          <w:sz w:val="20"/>
          <w:szCs w:val="20"/>
        </w:rPr>
        <w:t xml:space="preserve">를 구분합니다. 분석에 요구하는 규율(5.9.1의 LIMITATION 등급, 5.10의 커버리지 사전 공개)을 제안서 자신에게도 적용한 것입니다.</w:t>
      </w:r>
    </w:p>
    <w:p>
      <w:pPr>
        <w:pStyle w:val="Heading3"/>
        <w:keepNext/>
        <w:spacing w:after="110" w:before="240"/>
      </w:pPr>
      <w:r>
        <w:rPr>
          <w:rFonts w:ascii="맑은 고딕" w:cs="맑은 고딕" w:eastAsia="맑은 고딕" w:hAnsi="맑은 고딕"/>
          <w:b/>
          <w:bCs/>
          <w:color w:val="5A5A5A"/>
          <w:sz w:val="20"/>
          <w:szCs w:val="20"/>
        </w:rPr>
        <w:t xml:space="preserve">F.1 구현 상태</w:t>
      </w:r>
    </w:p>
    <w:p>
      <w:pPr>
        <w:keepNext/>
        <w:spacing w:after="90" w:before="220"/>
      </w:pPr>
      <w:r>
        <w:rPr>
          <w:rFonts w:ascii="맑은 고딕" w:cs="맑은 고딕" w:eastAsia="맑은 고딕" w:hAnsi="맑은 고딕"/>
          <w:b/>
          <w:bCs/>
          <w:color w:val="1F3864"/>
          <w:sz w:val="18"/>
          <w:szCs w:val="18"/>
        </w:rPr>
        <w:t xml:space="preserve">[표 F-1] 제5장 구성요소별 구현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9"/>
        <w:gridCol w:w="2670"/>
        <w:gridCol w:w="4949"/>
      </w:tblGrid>
      <w:tr>
        <w:trPr>
          <w:cantSplit/>
          <w:tblHeader/>
        </w:trPr>
        <w:tc>
          <w:tcPr>
            <w:tcW w:type="dxa" w:w="201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구성요소</w:t>
            </w:r>
          </w:p>
        </w:tc>
        <w:tc>
          <w:tcPr>
            <w:tcW w:type="dxa" w:w="26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상태</w:t>
            </w:r>
          </w:p>
        </w:tc>
        <w:tc>
          <w:tcPr>
            <w:tcW w:type="dxa" w:w="49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방법</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15개 레이어 수집</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13개 연동</w:t>
            </w:r>
            <w:r>
              <w:rPr>
                <w:rFonts w:ascii="맑은 고딕" w:cs="맑은 고딕" w:eastAsia="맑은 고딕" w:hAnsi="맑은 고딕"/>
                <w:color w:val="1A1A1A"/>
                <w:sz w:val="18"/>
                <w:szCs w:val="18"/>
              </w:rPr>
              <w:t xml:space="preserve"> (L6 유동인구·L10 카드소비 제외)</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커버리지표가 실행 결과로부터 자동 생성</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 밴드</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타입·층 구간별 밴드, 표본 미달 시 롤업 표기, 실제 거래·유효표본 분리</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양방 환산</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현장·비교 거래 동일 규칙, 구간 누진 세율, 타입별 적용률 표기</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 기반 하방 점검</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전세가율·추세·전환율·충당율, 갱신 계약 제외</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수요 전망</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구간·미달 위험, 표본 5건 미만 시 정성 전환</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실부담 시뮬레이션</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금리 시나리오별 부담·구매 가능 가구 비율</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결정 시뮬레이션</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후보 가격대별 판정과 규칙 기반 권고</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 + 인허가 교차검증</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실현률 가중, 시군구 실적 대조</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엔진·촉매카드</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단계·예산 확보율 기반 광고 취급 등급</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조기경보·경쟁 현장 모니터링</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스냅숏 비교, 신선도 경고</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산출물 (제6장)</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메시지맵·근거카드·거절 대응, 근거 없는 축은 답변 미생성</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병목 진단 (제10장)</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대조·운영/조건 분류·현장 반응 교차 확인</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반응 피드백</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사유·방문객 거주지 vs 4개 판정 정합성</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4개 독립 판정</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방향·강도·신뢰도·변화의 4속성</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강건성 검사</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 교란 후 동일 판정 함수 재실행, 뒤집힌 판정을 요약·상담 문장 양쪽에 표기</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린트 게이트</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금지 표현 차단, FORECAST 등급 상한 강제</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 절로 납품, 미산출 항목 포함 등재</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장부·감사</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봉인 해시 전수 재계산 + 불변 장치 실동작 확인</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백테스트·드리프트 감시</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운영과 동일 함수 호출, 신고지연 적용으로 낙관 편향 제거</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신고지연 보정</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미완결 월 판정·제외 내역 표기, 백테스트 동일 적용</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조정계수 교정</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회귀 추정 + 홀드아웃 검증, 통과 시에만 교체</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F.2 아직 확정되지 않은 것</w:t>
      </w:r>
    </w:p>
    <w:p>
      <w:pPr>
        <w:keepNext/>
        <w:spacing w:after="90" w:before="220"/>
      </w:pPr>
      <w:r>
        <w:rPr>
          <w:rFonts w:ascii="맑은 고딕" w:cs="맑은 고딕" w:eastAsia="맑은 고딕" w:hAnsi="맑은 고딕"/>
          <w:b/>
          <w:bCs/>
          <w:color w:val="1F3864"/>
          <w:sz w:val="18"/>
          <w:szCs w:val="18"/>
        </w:rPr>
        <w:t xml:space="preserve">[표 F-2] 미완료 항목과 해소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7"/>
        <w:gridCol w:w="5322"/>
        <w:gridCol w:w="2779"/>
      </w:tblGrid>
      <w:tr>
        <w:trPr>
          <w:cantSplit/>
          <w:tblHeader/>
        </w:trPr>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532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상태</w:t>
            </w:r>
          </w:p>
        </w:tc>
        <w:tc>
          <w:tcPr>
            <w:tcW w:type="dxa" w:w="277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해소 조건</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조정계수(연식·층·시점)</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교정 </w:t>
            </w:r>
            <w:r>
              <w:rPr>
                <w:rFonts w:ascii="맑은 고딕" w:cs="맑은 고딕" w:eastAsia="맑은 고딕" w:hAnsi="맑은 고딕"/>
                <w:b/>
                <w:bCs/>
                <w:color w:val="1A1A1A"/>
                <w:sz w:val="18"/>
                <w:szCs w:val="18"/>
              </w:rPr>
              <w:t xml:space="preserve">엔진</w:t>
            </w:r>
            <w:r>
              <w:rPr>
                <w:rFonts w:ascii="맑은 고딕" w:cs="맑은 고딕" w:eastAsia="맑은 고딕" w:hAnsi="맑은 고딕"/>
                <w:color w:val="1A1A1A"/>
                <w:sz w:val="18"/>
                <w:szCs w:val="18"/>
              </w:rPr>
              <w:t xml:space="preserve">은 구현. 실현장 데이터로 교정을 실행하기 전까지는 초기값이며, 그 사실이 리포트 모델 카드에 표기됨</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데이터 확보 후 교정 실행</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드라이버 계수</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추세 지속률·공급 탄력성·금리 탄력성은 문헌·경험 기반 초기값</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장부에 실적이 누적된 후 재보정</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강건성 교란 폭</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검사는 작동. 흔드는 폭(계수 ×0.5~1.5, 실현률 ±20%p 등)은 그 자체가 가정이며 근거원장에 한계로 등재됨</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계수 교정·실적 누적 후 실제 변동 범위로 교체</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L5 소득 산포</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분포의 </w:t>
            </w:r>
            <w:r>
              <w:rPr>
                <w:rFonts w:ascii="맑은 고딕" w:cs="맑은 고딕" w:eastAsia="맑은 고딕" w:hAnsi="맑은 고딕"/>
                <w:b/>
                <w:bCs/>
                <w:color w:val="1A1A1A"/>
                <w:sz w:val="18"/>
                <w:szCs w:val="18"/>
              </w:rPr>
              <w:t xml:space="preserve">중심값은 실측</w:t>
            </w:r>
            <w:r>
              <w:rPr>
                <w:rFonts w:ascii="맑은 고딕" w:cs="맑은 고딕" w:eastAsia="맑은 고딕" w:hAnsi="맑은 고딕"/>
                <w:color w:val="1A1A1A"/>
                <w:sz w:val="18"/>
                <w:szCs w:val="18"/>
              </w:rPr>
              <w:t xml:space="preserve">, 산포와 형태는 가정</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 단위 소득 분포 자료 확보 시</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L7 생활이동·O/D</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파일 적재 경로는 구현. 원자료는 계약·승인 대상이며 갱신 주기가 김</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KTDB·통신사 자료 확보</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L6 유동인구 · L10 카드소비</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미연동</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라이선스 협의 (비용·재배포 조건 확인 선행)</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자료</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경로는 구현. 자료 자체는 현장 담당자의 주기적 확인에 의존</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개시 후 회차 누적</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적중률</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장부 구조는 작동. 실적 확정 건이 누적되기 전에는 "표본 누적 중"으로 판정 유보</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 10건 이상 누적</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F.3 이 부록의 취지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 표에서 "작동"으로 표기한 항목은 시연 가능하며, "미완료"로 표기한 항목은 계약 시점에 그 상태 그대로 인계됩니다. 제안 단계에서 유리하게 적어 두고 운영 단계에서 달라지는 일을 만들지 않기 위해, </w:t>
      </w:r>
      <w:r>
        <w:rPr>
          <w:rFonts w:ascii="맑은 고딕" w:cs="맑은 고딕" w:eastAsia="맑은 고딕" w:hAnsi="맑은 고딕"/>
          <w:b/>
          <w:bCs/>
          <w:i w:val="false"/>
          <w:iCs w:val="false"/>
          <w:color w:val="1A1A1A"/>
          <w:sz w:val="20"/>
          <w:szCs w:val="20"/>
        </w:rPr>
        <w:t xml:space="preserve">구현되지 않은 것을 구현된 것처럼 쓰지 않았습니다.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특히 조정계수에 관한 표기는 강조할 필요가 있습니다. 교정 엔진이 있다는 것과 계수가 교정되었다는 것은 다른 상태이며, 리포트는 그 둘을 구분해 표기합니다. 발주처가 첫 리포트에서 "계수는 아직 초기값"이라는 문장을 보게 되는 것은 결함이 아니라 설계된 동작입니다.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이유로 강건성 검사(5.8.1)는 초기 회차일수록 더 중요합니다. 계수가 교정되기 전에는 판정 ①이 가정에 의존할 가능성이 높고, 그 사실을 감추지 않고 리포트 첫 장에 적는 것이 이 시스템이 신뢰를 얻는 방식입니다. 검사 결과가 "가정 의존"으로 나오는 회차는 결론을 서둘러 쓰는 대신 </w:t>
      </w:r>
      <w:r>
        <w:rPr>
          <w:rFonts w:ascii="맑은 고딕" w:cs="맑은 고딕" w:eastAsia="맑은 고딕" w:hAnsi="맑은 고딕"/>
          <w:b/>
          <w:bCs/>
          <w:i w:val="false"/>
          <w:iCs w:val="false"/>
          <w:color w:val="1A1A1A"/>
          <w:sz w:val="20"/>
          <w:szCs w:val="20"/>
        </w:rPr>
        <w:t xml:space="preserve">해당 가정의 실측 교체를 우선 안건으로 올립니다</w:t>
      </w:r>
      <w:r>
        <w:rPr>
          <w:rFonts w:ascii="맑은 고딕" w:cs="맑은 고딕" w:eastAsia="맑은 고딕" w:hAnsi="맑은 고딕"/>
          <w:b w:val="false"/>
          <w:bCs w:val="false"/>
          <w:i w:val="false"/>
          <w:iCs w:val="false"/>
          <w:color w:val="1A1A1A"/>
          <w:sz w:val="20"/>
          <w:szCs w:val="20"/>
        </w:rPr>
        <w:t xml:space="preserve">.</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문서 종료</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문서는 분양하마의 표준 운영모델을 설명하는 제안 목적으로 작성되었습니다. 기재된 운영 방안·일정·지표·비용 구조는 발주처와의 협의 및 현장 진단 결과에 따라 조정될 수 있으며, 본 문서의 어떠한 내용도 가격 상승·수익·분양계약·AI 노출의 보장으로 해석되지 않습니다.</w:t>
      </w:r>
    </w:p>
    <w:sectPr>
      <w:headerReference w:type="default" r:id="rId7"/>
      <w:footerReference w:type="default" r:id="rId8"/>
      <w:pgSz w:w="11906" w:h="16838" w:orient="portrait"/>
      <w:pgMar w:top="1400" w:right="1134" w:bottom="13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맑은 고딕" w:cs="맑은 고딕" w:eastAsia="맑은 고딕" w:hAnsi="맑은 고딕"/>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spacing w:after="60"/>
      <w:jc w:val="right"/>
    </w:pPr>
    <w:r>
      <w:rPr>
        <w:rFonts w:ascii="맑은 고딕" w:cs="맑은 고딕" w:eastAsia="맑은 고딕" w:hAnsi="맑은 고딕"/>
        <w:color w:val="8A8A8A"/>
        <w:sz w:val="15"/>
        <w:szCs w:val="15"/>
      </w:rPr>
      <w:t xml:space="preserve">분양하마 AI 분양 수요 전환 시스템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rFonts w:ascii="맑은 고딕" w:cs="맑은 고딕" w:eastAsia="맑은 고딕" w:hAnsi="맑은 고딕"/>
        <w:sz w:val="20"/>
        <w:szCs w:val="20"/>
      </w:rPr>
    </w:lvl>
  </w:abstractNum>
  <w:abstractNum w:abstractNumId="3" w15:restartNumberingAfterBreak="0">
    <w:multiLevelType w:val="hybridMultilevel"/>
    <w:lvl w:ilvl="0" w15:tentative="1">
      <w:start w:val="1"/>
      <w:numFmt w:val="decimal"/>
      <w:lvlText w:val="%1."/>
      <w:lvlJc w:val="left"/>
      <w:pPr>
        <w:ind w:left="360" w:hanging="220"/>
      </w:pPr>
      <w:rPr>
        <w:rFonts w:ascii="맑은 고딕" w:cs="맑은 고딕" w:eastAsia="맑은 고딕" w:hAnsi="맑은 고딕"/>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A1A1A"/>
        <w:sz w:val="20"/>
        <w:szCs w:val="20"/>
      </w:rPr>
    </w:rPrDefault>
    <w:pPrDefault>
      <w:pPr>
        <w:spacing w:line="31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line="310"/>
    </w:pPr>
    <w:rPr>
      <w:rFonts w:ascii="맑은 고딕" w:cs="맑은 고딕" w:eastAsia="맑은 고딕" w:hAnsi="맑은 고딕"/>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분양하마 AI 분양 수요 전환 시스템 구축·운영 제안서</dc:title>
  <dc:creator>분양하마</dc:creator>
  <dc:description>시행사·분양대행사 대상 사업 제안서</dc:description>
  <cp:lastModifiedBy>Un-named</cp:lastModifiedBy>
  <cp:revision>1</cp:revision>
  <dcterms:created xsi:type="dcterms:W3CDTF">2026-08-14T02:42:00.671Z</dcterms:created>
  <dcterms:modified xsi:type="dcterms:W3CDTF">2026-08-14T02:42:00.689Z</dcterms:modified>
</cp:coreProperties>
</file>

<file path=docProps/custom.xml><?xml version="1.0" encoding="utf-8"?>
<Properties xmlns="http://schemas.openxmlformats.org/officeDocument/2006/custom-properties" xmlns:vt="http://schemas.openxmlformats.org/officeDocument/2006/docPropsVTypes"/>
</file>